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F5980" w14:textId="77777777" w:rsidR="00026E87" w:rsidRPr="00026E87" w:rsidRDefault="00026E87" w:rsidP="00026E87">
      <w:pPr>
        <w:shd w:val="clear" w:color="auto" w:fill="FFFFFF"/>
        <w:spacing w:after="0" w:line="240" w:lineRule="auto"/>
        <w:rPr>
          <w:rFonts w:ascii="Arial" w:eastAsia="Times New Roman" w:hAnsi="Arial" w:cs="Arial"/>
          <w:color w:val="1B1B1B"/>
        </w:rPr>
      </w:pPr>
      <w:r w:rsidRPr="00026E87">
        <w:rPr>
          <w:rFonts w:ascii="Arial" w:eastAsia="Times New Roman" w:hAnsi="Arial" w:cs="Arial"/>
          <w:b/>
          <w:bCs/>
          <w:color w:val="1B1B1B"/>
        </w:rPr>
        <w:t>5.8.10.9 (07-20-2020)</w:t>
      </w:r>
    </w:p>
    <w:p w14:paraId="64E95193" w14:textId="77777777" w:rsidR="00026E87" w:rsidRPr="00026E87" w:rsidRDefault="00026E87" w:rsidP="00026E87">
      <w:pPr>
        <w:shd w:val="clear" w:color="auto" w:fill="FFFFFF"/>
        <w:spacing w:before="75" w:after="225" w:line="240" w:lineRule="auto"/>
        <w:outlineLvl w:val="2"/>
        <w:rPr>
          <w:rFonts w:ascii="inherit" w:eastAsia="Times New Roman" w:hAnsi="inherit" w:cs="Arial"/>
          <w:b/>
          <w:bCs/>
          <w:color w:val="1B1B1B"/>
          <w:sz w:val="27"/>
          <w:szCs w:val="27"/>
        </w:rPr>
      </w:pPr>
      <w:bookmarkStart w:id="0" w:name="idm140489654585728"/>
      <w:bookmarkEnd w:id="0"/>
      <w:r w:rsidRPr="00026E87">
        <w:rPr>
          <w:rFonts w:ascii="inherit" w:eastAsia="Times New Roman" w:hAnsi="inherit" w:cs="Arial"/>
          <w:b/>
          <w:bCs/>
          <w:color w:val="1B1B1B"/>
          <w:sz w:val="27"/>
          <w:szCs w:val="27"/>
        </w:rPr>
        <w:t>Indicators of Potential Practitioner Misconduct</w:t>
      </w:r>
    </w:p>
    <w:p w14:paraId="65EB5894" w14:textId="77777777" w:rsidR="00026E87" w:rsidRPr="00026E87" w:rsidRDefault="00026E87" w:rsidP="00026E87">
      <w:pPr>
        <w:numPr>
          <w:ilvl w:val="0"/>
          <w:numId w:val="1"/>
        </w:numPr>
        <w:shd w:val="clear" w:color="auto" w:fill="FFFFFF"/>
        <w:spacing w:before="150" w:after="150" w:line="240" w:lineRule="auto"/>
        <w:ind w:left="1335" w:firstLine="0"/>
        <w:rPr>
          <w:rFonts w:ascii="Arial" w:eastAsia="Times New Roman" w:hAnsi="Arial" w:cs="Arial"/>
          <w:color w:val="1B1B1B"/>
        </w:rPr>
      </w:pPr>
      <w:r w:rsidRPr="00026E87">
        <w:rPr>
          <w:rFonts w:ascii="Arial" w:eastAsia="Times New Roman" w:hAnsi="Arial" w:cs="Arial"/>
          <w:color w:val="1B1B1B"/>
        </w:rPr>
        <w:t xml:space="preserve">During the verification of OIC financial </w:t>
      </w:r>
      <w:proofErr w:type="gramStart"/>
      <w:r w:rsidRPr="00026E87">
        <w:rPr>
          <w:rFonts w:ascii="Arial" w:eastAsia="Times New Roman" w:hAnsi="Arial" w:cs="Arial"/>
          <w:color w:val="1B1B1B"/>
        </w:rPr>
        <w:t>statements ,</w:t>
      </w:r>
      <w:proofErr w:type="gramEnd"/>
      <w:r w:rsidRPr="00026E87">
        <w:rPr>
          <w:rFonts w:ascii="Arial" w:eastAsia="Times New Roman" w:hAnsi="Arial" w:cs="Arial"/>
          <w:color w:val="1B1B1B"/>
        </w:rPr>
        <w:t xml:space="preserve"> employees should always be aware of any indications that a practitioner violated the duties and restrictions relating to practice before the IRS as described in Treasury Department Circular No. 230 (Circular 230) "Regulations Governing Practice before the Internal Revenue Service" (Revised 6/2014). Section 10.50 of Circular 230 generally defines “incompetence and disreputable conduct” that is subject to sanction under section 10.50. In addition, section 10.52(a)(1) states that a practitioner may be sanctioned under section 10.50 for violating any of the regulations in Circular 230 (other than section 10.33). For example, a practitioner may be sanctioned for violating the following regulations:</w:t>
      </w:r>
    </w:p>
    <w:p w14:paraId="10B2205A" w14:textId="77777777" w:rsidR="00026E87" w:rsidRPr="00026E87" w:rsidRDefault="00026E87" w:rsidP="00026E87">
      <w:pPr>
        <w:numPr>
          <w:ilvl w:val="1"/>
          <w:numId w:val="2"/>
        </w:numPr>
        <w:shd w:val="clear" w:color="auto" w:fill="FFFFFF"/>
        <w:spacing w:before="150" w:after="150" w:line="240" w:lineRule="auto"/>
        <w:ind w:left="2295"/>
        <w:rPr>
          <w:rFonts w:ascii="Arial" w:eastAsia="Times New Roman" w:hAnsi="Arial" w:cs="Arial"/>
          <w:color w:val="1B1B1B"/>
        </w:rPr>
      </w:pPr>
      <w:r w:rsidRPr="00026E87">
        <w:rPr>
          <w:rFonts w:ascii="Arial" w:eastAsia="Times New Roman" w:hAnsi="Arial" w:cs="Arial"/>
          <w:color w:val="1B1B1B"/>
        </w:rPr>
        <w:t>Failure to exercise due diligence. There may be evidence to show that the practitioner ignored certain known facts or failed to make reasonable inquiries to verify the correctness of oral or written representations made by a client. Practitioners have a duty to make reasonable inquiries to clients, to determine the correctness of documentation they submit to the IRS.</w:t>
      </w:r>
    </w:p>
    <w:p w14:paraId="1C8FD678" w14:textId="77777777" w:rsidR="00026E87" w:rsidRPr="00026E87" w:rsidRDefault="00026E87" w:rsidP="00026E87">
      <w:pPr>
        <w:numPr>
          <w:ilvl w:val="1"/>
          <w:numId w:val="2"/>
        </w:numPr>
        <w:shd w:val="clear" w:color="auto" w:fill="FFFFFF"/>
        <w:spacing w:before="150" w:after="150" w:line="240" w:lineRule="auto"/>
        <w:ind w:left="2295"/>
        <w:rPr>
          <w:rFonts w:ascii="Arial" w:eastAsia="Times New Roman" w:hAnsi="Arial" w:cs="Arial"/>
          <w:color w:val="1B1B1B"/>
        </w:rPr>
      </w:pPr>
      <w:r w:rsidRPr="00026E87">
        <w:rPr>
          <w:rFonts w:ascii="Arial" w:eastAsia="Times New Roman" w:hAnsi="Arial" w:cs="Arial"/>
          <w:color w:val="1B1B1B"/>
        </w:rPr>
        <w:t>Deceptive advertising with respect to offers (such as unqualified promises of settlement, or "pennies on the dollar</w:t>
      </w:r>
      <w:proofErr w:type="gramStart"/>
      <w:r w:rsidRPr="00026E87">
        <w:rPr>
          <w:rFonts w:ascii="Arial" w:eastAsia="Times New Roman" w:hAnsi="Arial" w:cs="Arial"/>
          <w:color w:val="1B1B1B"/>
        </w:rPr>
        <w:t>" )</w:t>
      </w:r>
      <w:proofErr w:type="gramEnd"/>
      <w:r w:rsidRPr="00026E87">
        <w:rPr>
          <w:rFonts w:ascii="Arial" w:eastAsia="Times New Roman" w:hAnsi="Arial" w:cs="Arial"/>
          <w:color w:val="1B1B1B"/>
        </w:rPr>
        <w:t>.</w:t>
      </w:r>
    </w:p>
    <w:p w14:paraId="55236ECB" w14:textId="77777777" w:rsidR="00026E87" w:rsidRPr="00026E87" w:rsidRDefault="00026E87" w:rsidP="00026E87">
      <w:pPr>
        <w:numPr>
          <w:ilvl w:val="0"/>
          <w:numId w:val="2"/>
        </w:numPr>
        <w:shd w:val="clear" w:color="auto" w:fill="FFFFFF"/>
        <w:spacing w:before="150" w:after="150" w:line="240" w:lineRule="auto"/>
        <w:ind w:left="1335" w:firstLine="0"/>
        <w:rPr>
          <w:rFonts w:ascii="Arial" w:eastAsia="Times New Roman" w:hAnsi="Arial" w:cs="Arial"/>
          <w:color w:val="1B1B1B"/>
        </w:rPr>
      </w:pPr>
      <w:r w:rsidRPr="00026E87">
        <w:rPr>
          <w:rFonts w:ascii="Arial" w:eastAsia="Times New Roman" w:hAnsi="Arial" w:cs="Arial"/>
          <w:color w:val="1B1B1B"/>
        </w:rPr>
        <w:t>The Office of Professional Responsibility (OPR) may impose sanctions, including monetary penalties, on practitioners. Also, if the practitioner is acting on behalf of an employer or other entity, the OPR may impose a monetary penalty on the employer, firm or other entity if it knew, or reasonably should have known, of the conduct.</w:t>
      </w:r>
    </w:p>
    <w:p w14:paraId="4B5E3A3C" w14:textId="77777777" w:rsidR="00026E87" w:rsidRPr="00026E87" w:rsidRDefault="00026E87" w:rsidP="00026E87">
      <w:pPr>
        <w:numPr>
          <w:ilvl w:val="0"/>
          <w:numId w:val="2"/>
        </w:numPr>
        <w:shd w:val="clear" w:color="auto" w:fill="FFFFFF"/>
        <w:spacing w:before="150" w:after="150" w:line="240" w:lineRule="auto"/>
        <w:ind w:left="1335" w:firstLine="0"/>
        <w:rPr>
          <w:rFonts w:ascii="Arial" w:eastAsia="Times New Roman" w:hAnsi="Arial" w:cs="Arial"/>
          <w:color w:val="1B1B1B"/>
        </w:rPr>
      </w:pPr>
      <w:r w:rsidRPr="00026E87">
        <w:rPr>
          <w:rFonts w:ascii="Arial" w:eastAsia="Times New Roman" w:hAnsi="Arial" w:cs="Arial"/>
          <w:color w:val="1B1B1B"/>
        </w:rPr>
        <w:t>A referral should also be made if the employee becomes aware that a suspended or disbarred practitioner is practicing or attempting to practice before the IRS, or that an unenrolled preparer is attempting to represent the taxpayer before the IRS during the offer investigation.</w:t>
      </w:r>
    </w:p>
    <w:p w14:paraId="78ECFD7D" w14:textId="77777777" w:rsidR="00026E87" w:rsidRPr="00026E87" w:rsidRDefault="00026E87" w:rsidP="00026E87">
      <w:pPr>
        <w:shd w:val="clear" w:color="auto" w:fill="FFFFFF"/>
        <w:spacing w:before="75" w:after="0" w:line="240" w:lineRule="auto"/>
        <w:ind w:left="1335"/>
        <w:outlineLvl w:val="2"/>
        <w:rPr>
          <w:rFonts w:ascii="inherit" w:eastAsia="Times New Roman" w:hAnsi="inherit" w:cs="Arial"/>
          <w:b/>
          <w:bCs/>
          <w:color w:val="1B1B1B"/>
          <w:sz w:val="27"/>
          <w:szCs w:val="27"/>
        </w:rPr>
      </w:pPr>
      <w:bookmarkStart w:id="1" w:name="idm140489654579536"/>
      <w:bookmarkEnd w:id="1"/>
      <w:r w:rsidRPr="00026E87">
        <w:rPr>
          <w:rFonts w:ascii="inherit" w:eastAsia="Times New Roman" w:hAnsi="inherit" w:cs="Arial"/>
          <w:b/>
          <w:bCs/>
          <w:color w:val="1B1B1B"/>
          <w:sz w:val="27"/>
          <w:szCs w:val="27"/>
        </w:rPr>
        <w:t>Note:</w:t>
      </w:r>
    </w:p>
    <w:p w14:paraId="36C5A19E" w14:textId="77777777" w:rsidR="00026E87" w:rsidRPr="00026E87" w:rsidRDefault="00026E87" w:rsidP="00026E87">
      <w:pPr>
        <w:shd w:val="clear" w:color="auto" w:fill="FFFFFF"/>
        <w:spacing w:after="0" w:line="240" w:lineRule="auto"/>
        <w:ind w:left="1335"/>
        <w:rPr>
          <w:rFonts w:ascii="Arial" w:eastAsia="Times New Roman" w:hAnsi="Arial" w:cs="Arial"/>
          <w:color w:val="1B1B1B"/>
        </w:rPr>
      </w:pPr>
      <w:r w:rsidRPr="00026E87">
        <w:rPr>
          <w:rFonts w:ascii="Arial" w:eastAsia="Times New Roman" w:hAnsi="Arial" w:cs="Arial"/>
          <w:color w:val="1B1B1B"/>
        </w:rPr>
        <w:t> </w:t>
      </w:r>
    </w:p>
    <w:p w14:paraId="56D5F1F4" w14:textId="77777777" w:rsidR="00026E87" w:rsidRPr="00026E87" w:rsidRDefault="00026E87" w:rsidP="00026E87">
      <w:pPr>
        <w:shd w:val="clear" w:color="auto" w:fill="FFFFFF"/>
        <w:spacing w:after="150" w:line="240" w:lineRule="auto"/>
        <w:ind w:left="1335"/>
        <w:rPr>
          <w:rFonts w:ascii="Arial" w:eastAsia="Times New Roman" w:hAnsi="Arial" w:cs="Arial"/>
          <w:color w:val="1B1B1B"/>
        </w:rPr>
      </w:pPr>
      <w:r w:rsidRPr="00026E87">
        <w:rPr>
          <w:rFonts w:ascii="Arial" w:eastAsia="Times New Roman" w:hAnsi="Arial" w:cs="Arial"/>
          <w:color w:val="1B1B1B"/>
        </w:rPr>
        <w:t>The referral process is required by Section § 10.53(a) and 10.53(b) of Circular No. 230.</w:t>
      </w:r>
    </w:p>
    <w:p w14:paraId="68B00963" w14:textId="77777777" w:rsidR="00026E87" w:rsidRPr="00026E87" w:rsidRDefault="00026E87" w:rsidP="00026E87">
      <w:pPr>
        <w:numPr>
          <w:ilvl w:val="0"/>
          <w:numId w:val="2"/>
        </w:numPr>
        <w:shd w:val="clear" w:color="auto" w:fill="FFFFFF"/>
        <w:spacing w:before="150" w:after="150" w:line="240" w:lineRule="auto"/>
        <w:ind w:left="1335" w:firstLine="0"/>
        <w:rPr>
          <w:rFonts w:ascii="Arial" w:eastAsia="Times New Roman" w:hAnsi="Arial" w:cs="Arial"/>
          <w:color w:val="1B1B1B"/>
        </w:rPr>
      </w:pPr>
      <w:r w:rsidRPr="00026E87">
        <w:rPr>
          <w:rFonts w:ascii="Arial" w:eastAsia="Times New Roman" w:hAnsi="Arial" w:cs="Arial"/>
          <w:color w:val="1B1B1B"/>
        </w:rPr>
        <w:t xml:space="preserve">Employees should also report suspected violations of 18, U.S.C. § 207, Post Employment Conflicts of Interest (Circular No. 230, Section 10.25), to TIGTA or OPR. Questions regarding </w:t>
      </w:r>
      <w:proofErr w:type="spellStart"/>
      <w:r w:rsidRPr="00026E87">
        <w:rPr>
          <w:rFonts w:ascii="Arial" w:eastAsia="Times New Roman" w:hAnsi="Arial" w:cs="Arial"/>
          <w:color w:val="1B1B1B"/>
        </w:rPr>
        <w:t>post employment</w:t>
      </w:r>
      <w:proofErr w:type="spellEnd"/>
      <w:r w:rsidRPr="00026E87">
        <w:rPr>
          <w:rFonts w:ascii="Arial" w:eastAsia="Times New Roman" w:hAnsi="Arial" w:cs="Arial"/>
          <w:color w:val="1B1B1B"/>
        </w:rPr>
        <w:t xml:space="preserve"> conflicts should be directed to the Associate Chief Counsel (GLS).</w:t>
      </w:r>
    </w:p>
    <w:p w14:paraId="4464FC72" w14:textId="77777777" w:rsidR="00026E87" w:rsidRPr="00026E87" w:rsidRDefault="00026E87" w:rsidP="00026E87">
      <w:pPr>
        <w:shd w:val="clear" w:color="auto" w:fill="FFFFFF"/>
        <w:spacing w:after="0" w:line="240" w:lineRule="auto"/>
        <w:rPr>
          <w:rFonts w:ascii="Arial" w:eastAsia="Times New Roman" w:hAnsi="Arial" w:cs="Arial"/>
          <w:color w:val="1B1B1B"/>
        </w:rPr>
      </w:pPr>
      <w:r w:rsidRPr="00026E87">
        <w:rPr>
          <w:rFonts w:ascii="Arial" w:eastAsia="Times New Roman" w:hAnsi="Arial" w:cs="Arial"/>
          <w:b/>
          <w:bCs/>
          <w:color w:val="1B1B1B"/>
        </w:rPr>
        <w:t>5.8.10.9.1 (02-14-2017)</w:t>
      </w:r>
    </w:p>
    <w:p w14:paraId="71358750" w14:textId="77777777" w:rsidR="00026E87" w:rsidRPr="00026E87" w:rsidRDefault="00026E87" w:rsidP="00026E87">
      <w:pPr>
        <w:shd w:val="clear" w:color="auto" w:fill="FFFFFF"/>
        <w:spacing w:before="75" w:after="75" w:line="240" w:lineRule="auto"/>
        <w:outlineLvl w:val="3"/>
        <w:rPr>
          <w:rFonts w:ascii="inherit" w:eastAsia="Times New Roman" w:hAnsi="inherit" w:cs="Arial"/>
          <w:b/>
          <w:bCs/>
          <w:color w:val="1B1B1B"/>
        </w:rPr>
      </w:pPr>
      <w:bookmarkStart w:id="2" w:name="idm140489654577744"/>
      <w:bookmarkEnd w:id="2"/>
      <w:r w:rsidRPr="00026E87">
        <w:rPr>
          <w:rFonts w:ascii="inherit" w:eastAsia="Times New Roman" w:hAnsi="inherit" w:cs="Arial"/>
          <w:b/>
          <w:bCs/>
          <w:color w:val="1B1B1B"/>
        </w:rPr>
        <w:t>The Role of the Office of Professional Responsibility</w:t>
      </w:r>
    </w:p>
    <w:p w14:paraId="2D950977" w14:textId="77777777" w:rsidR="00026E87" w:rsidRPr="00026E87" w:rsidRDefault="00026E87" w:rsidP="00026E87">
      <w:pPr>
        <w:numPr>
          <w:ilvl w:val="0"/>
          <w:numId w:val="3"/>
        </w:numPr>
        <w:shd w:val="clear" w:color="auto" w:fill="FFFFFF"/>
        <w:spacing w:before="150" w:after="150" w:line="240" w:lineRule="auto"/>
        <w:ind w:left="1335" w:firstLine="0"/>
        <w:rPr>
          <w:rFonts w:ascii="Arial" w:eastAsia="Times New Roman" w:hAnsi="Arial" w:cs="Arial"/>
          <w:color w:val="1B1B1B"/>
        </w:rPr>
      </w:pPr>
      <w:r w:rsidRPr="00026E87">
        <w:rPr>
          <w:rFonts w:ascii="Arial" w:eastAsia="Times New Roman" w:hAnsi="Arial" w:cs="Arial"/>
          <w:color w:val="1B1B1B"/>
        </w:rPr>
        <w:lastRenderedPageBreak/>
        <w:t xml:space="preserve">Under the authority provided by 31 U.S.C. § 330 and 31 CFR § 10, which is published as Treasury Department Circular No. </w:t>
      </w:r>
      <w:proofErr w:type="gramStart"/>
      <w:r w:rsidRPr="00026E87">
        <w:rPr>
          <w:rFonts w:ascii="Arial" w:eastAsia="Times New Roman" w:hAnsi="Arial" w:cs="Arial"/>
          <w:color w:val="1B1B1B"/>
        </w:rPr>
        <w:t>230 ,</w:t>
      </w:r>
      <w:proofErr w:type="gramEnd"/>
      <w:r w:rsidRPr="00026E87">
        <w:rPr>
          <w:rFonts w:ascii="Arial" w:eastAsia="Times New Roman" w:hAnsi="Arial" w:cs="Arial"/>
          <w:color w:val="1B1B1B"/>
        </w:rPr>
        <w:t xml:space="preserve"> Regulations Governing Practice before the Internal Revenue Service (Revised 6/2014), OPR renders final decisions on applications for enrollment to practice, as needed. OPR also makes inquiries into matters under its jurisdiction, and institutes disciplinary proceedings against tax practitioners who are found to have violated any part of Circular No. 230.</w:t>
      </w:r>
    </w:p>
    <w:p w14:paraId="4998E861" w14:textId="77777777" w:rsidR="00026E87" w:rsidRPr="00026E87" w:rsidRDefault="00026E87" w:rsidP="00026E87">
      <w:pPr>
        <w:shd w:val="clear" w:color="auto" w:fill="FFFFFF"/>
        <w:spacing w:after="0" w:line="240" w:lineRule="auto"/>
        <w:rPr>
          <w:rFonts w:ascii="Arial" w:eastAsia="Times New Roman" w:hAnsi="Arial" w:cs="Arial"/>
          <w:color w:val="1B1B1B"/>
        </w:rPr>
      </w:pPr>
      <w:r w:rsidRPr="00026E87">
        <w:rPr>
          <w:rFonts w:ascii="Arial" w:eastAsia="Times New Roman" w:hAnsi="Arial" w:cs="Arial"/>
          <w:b/>
          <w:bCs/>
          <w:color w:val="1B1B1B"/>
        </w:rPr>
        <w:t>5.8.10.9.2 (07-20-2020)</w:t>
      </w:r>
    </w:p>
    <w:p w14:paraId="0A17BC64" w14:textId="77777777" w:rsidR="00026E87" w:rsidRPr="00026E87" w:rsidRDefault="00026E87" w:rsidP="00026E87">
      <w:pPr>
        <w:shd w:val="clear" w:color="auto" w:fill="FFFFFF"/>
        <w:spacing w:before="75" w:after="75" w:line="240" w:lineRule="auto"/>
        <w:outlineLvl w:val="3"/>
        <w:rPr>
          <w:rFonts w:ascii="inherit" w:eastAsia="Times New Roman" w:hAnsi="inherit" w:cs="Arial"/>
          <w:b/>
          <w:bCs/>
          <w:color w:val="1B1B1B"/>
        </w:rPr>
      </w:pPr>
      <w:bookmarkStart w:id="3" w:name="idm140489654575424"/>
      <w:bookmarkEnd w:id="3"/>
      <w:r w:rsidRPr="00026E87">
        <w:rPr>
          <w:rFonts w:ascii="inherit" w:eastAsia="Times New Roman" w:hAnsi="inherit" w:cs="Arial"/>
          <w:b/>
          <w:bCs/>
          <w:color w:val="1B1B1B"/>
        </w:rPr>
        <w:t>Examples of Tax Practitioner Misconduct in the Offer in Compromise Program</w:t>
      </w:r>
    </w:p>
    <w:p w14:paraId="4BA2F210" w14:textId="77777777" w:rsidR="00026E87" w:rsidRPr="00026E87" w:rsidRDefault="00026E87" w:rsidP="00026E87">
      <w:pPr>
        <w:numPr>
          <w:ilvl w:val="0"/>
          <w:numId w:val="4"/>
        </w:numPr>
        <w:shd w:val="clear" w:color="auto" w:fill="FFFFFF"/>
        <w:spacing w:before="150" w:after="150" w:line="240" w:lineRule="auto"/>
        <w:ind w:left="1335" w:firstLine="0"/>
        <w:rPr>
          <w:rFonts w:ascii="Arial" w:eastAsia="Times New Roman" w:hAnsi="Arial" w:cs="Arial"/>
          <w:color w:val="1B1B1B"/>
        </w:rPr>
      </w:pPr>
      <w:r w:rsidRPr="00026E87">
        <w:rPr>
          <w:rFonts w:ascii="Arial" w:eastAsia="Times New Roman" w:hAnsi="Arial" w:cs="Arial"/>
          <w:color w:val="1B1B1B"/>
        </w:rPr>
        <w:t>A pattern of inappropriate conduct is a factor that the OPR will consider in determining whether sufficient evidence exists to suggest a willful violation of Circular 230.</w:t>
      </w:r>
    </w:p>
    <w:p w14:paraId="452D3052" w14:textId="77777777" w:rsidR="00026E87" w:rsidRPr="00026E87" w:rsidRDefault="00026E87" w:rsidP="00026E87">
      <w:pPr>
        <w:numPr>
          <w:ilvl w:val="0"/>
          <w:numId w:val="4"/>
        </w:numPr>
        <w:shd w:val="clear" w:color="auto" w:fill="FFFFFF"/>
        <w:spacing w:before="150" w:after="150" w:line="240" w:lineRule="auto"/>
        <w:ind w:left="1335" w:firstLine="0"/>
        <w:rPr>
          <w:rFonts w:ascii="Arial" w:eastAsia="Times New Roman" w:hAnsi="Arial" w:cs="Arial"/>
          <w:color w:val="1B1B1B"/>
        </w:rPr>
      </w:pPr>
      <w:r w:rsidRPr="00026E87">
        <w:rPr>
          <w:rFonts w:ascii="Arial" w:eastAsia="Times New Roman" w:hAnsi="Arial" w:cs="Arial"/>
          <w:color w:val="1B1B1B"/>
        </w:rPr>
        <w:t>Below are some indicators of misconduct by practitioners.</w:t>
      </w:r>
    </w:p>
    <w:p w14:paraId="71A391D4" w14:textId="77777777" w:rsidR="00026E87" w:rsidRPr="00026E87" w:rsidRDefault="00026E87" w:rsidP="00026E87">
      <w:pPr>
        <w:numPr>
          <w:ilvl w:val="1"/>
          <w:numId w:val="5"/>
        </w:numPr>
        <w:shd w:val="clear" w:color="auto" w:fill="FFFFFF"/>
        <w:spacing w:before="150" w:after="150" w:line="240" w:lineRule="auto"/>
        <w:ind w:left="2745"/>
        <w:rPr>
          <w:rFonts w:ascii="Arial" w:eastAsia="Times New Roman" w:hAnsi="Arial" w:cs="Arial"/>
          <w:color w:val="1B1B1B"/>
          <w:sz w:val="26"/>
          <w:szCs w:val="26"/>
        </w:rPr>
      </w:pPr>
      <w:r w:rsidRPr="00026E87">
        <w:rPr>
          <w:rFonts w:ascii="Arial" w:eastAsia="Times New Roman" w:hAnsi="Arial" w:cs="Arial"/>
          <w:color w:val="1B1B1B"/>
          <w:sz w:val="26"/>
          <w:szCs w:val="26"/>
          <w:u w:val="single"/>
        </w:rPr>
        <w:t>Example 1</w:t>
      </w:r>
      <w:r w:rsidRPr="00026E87">
        <w:rPr>
          <w:rFonts w:ascii="Arial" w:eastAsia="Times New Roman" w:hAnsi="Arial" w:cs="Arial"/>
          <w:color w:val="1B1B1B"/>
          <w:sz w:val="26"/>
          <w:szCs w:val="26"/>
        </w:rPr>
        <w:t> — Establishing a pattern on several Offer in Compromise cases to attempt to influence the case dispositions to obtain the desired results by:</w:t>
      </w:r>
    </w:p>
    <w:p w14:paraId="2B1E5C44" w14:textId="77777777" w:rsidR="00026E87" w:rsidRPr="00026E87" w:rsidRDefault="00026E87" w:rsidP="00026E87">
      <w:pPr>
        <w:numPr>
          <w:ilvl w:val="2"/>
          <w:numId w:val="5"/>
        </w:numPr>
        <w:shd w:val="clear" w:color="auto" w:fill="FFFFFF"/>
        <w:spacing w:before="150" w:after="0" w:line="240" w:lineRule="auto"/>
        <w:ind w:left="4155" w:firstLine="0"/>
        <w:rPr>
          <w:rFonts w:ascii="Arial" w:eastAsia="Times New Roman" w:hAnsi="Arial" w:cs="Arial"/>
          <w:color w:val="1B1B1B"/>
          <w:sz w:val="26"/>
          <w:szCs w:val="26"/>
        </w:rPr>
      </w:pPr>
      <w:r w:rsidRPr="00026E87">
        <w:rPr>
          <w:rFonts w:ascii="Arial" w:eastAsia="Times New Roman" w:hAnsi="Arial" w:cs="Arial"/>
          <w:color w:val="1B1B1B"/>
          <w:sz w:val="26"/>
          <w:szCs w:val="26"/>
        </w:rPr>
        <w:t>Using abusive language</w:t>
      </w:r>
    </w:p>
    <w:p w14:paraId="46C6660F" w14:textId="77777777" w:rsidR="00026E87" w:rsidRPr="00026E87" w:rsidRDefault="00026E87" w:rsidP="00026E87">
      <w:pPr>
        <w:numPr>
          <w:ilvl w:val="2"/>
          <w:numId w:val="5"/>
        </w:numPr>
        <w:shd w:val="clear" w:color="auto" w:fill="FFFFFF"/>
        <w:spacing w:before="150" w:after="0" w:line="240" w:lineRule="auto"/>
        <w:ind w:left="4155" w:firstLine="0"/>
        <w:rPr>
          <w:rFonts w:ascii="Arial" w:eastAsia="Times New Roman" w:hAnsi="Arial" w:cs="Arial"/>
          <w:color w:val="1B1B1B"/>
          <w:sz w:val="26"/>
          <w:szCs w:val="26"/>
        </w:rPr>
      </w:pPr>
      <w:r w:rsidRPr="00026E87">
        <w:rPr>
          <w:rFonts w:ascii="Arial" w:eastAsia="Times New Roman" w:hAnsi="Arial" w:cs="Arial"/>
          <w:color w:val="1B1B1B"/>
          <w:sz w:val="26"/>
          <w:szCs w:val="26"/>
        </w:rPr>
        <w:t>Threatening claims of misconduct (e.g., Section 1203 of the RRA)</w:t>
      </w:r>
    </w:p>
    <w:p w14:paraId="4446209F" w14:textId="77777777" w:rsidR="00026E87" w:rsidRPr="00026E87" w:rsidRDefault="00026E87" w:rsidP="00026E87">
      <w:pPr>
        <w:numPr>
          <w:ilvl w:val="2"/>
          <w:numId w:val="5"/>
        </w:numPr>
        <w:shd w:val="clear" w:color="auto" w:fill="FFFFFF"/>
        <w:spacing w:before="150" w:after="0" w:line="240" w:lineRule="auto"/>
        <w:ind w:left="4155" w:firstLine="0"/>
        <w:rPr>
          <w:rFonts w:ascii="Arial" w:eastAsia="Times New Roman" w:hAnsi="Arial" w:cs="Arial"/>
          <w:color w:val="1B1B1B"/>
          <w:sz w:val="26"/>
          <w:szCs w:val="26"/>
        </w:rPr>
      </w:pPr>
      <w:r w:rsidRPr="00026E87">
        <w:rPr>
          <w:rFonts w:ascii="Arial" w:eastAsia="Times New Roman" w:hAnsi="Arial" w:cs="Arial"/>
          <w:color w:val="1B1B1B"/>
          <w:sz w:val="26"/>
          <w:szCs w:val="26"/>
        </w:rPr>
        <w:t>Making false claims of misconduct</w:t>
      </w:r>
    </w:p>
    <w:p w14:paraId="515E3F10" w14:textId="77777777" w:rsidR="00026E87" w:rsidRPr="00026E87" w:rsidRDefault="00026E87" w:rsidP="00026E87">
      <w:pPr>
        <w:numPr>
          <w:ilvl w:val="2"/>
          <w:numId w:val="5"/>
        </w:numPr>
        <w:shd w:val="clear" w:color="auto" w:fill="FFFFFF"/>
        <w:spacing w:before="150" w:after="0" w:line="240" w:lineRule="auto"/>
        <w:ind w:left="4155" w:firstLine="0"/>
        <w:rPr>
          <w:rFonts w:ascii="Arial" w:eastAsia="Times New Roman" w:hAnsi="Arial" w:cs="Arial"/>
          <w:color w:val="1B1B1B"/>
          <w:sz w:val="26"/>
          <w:szCs w:val="26"/>
        </w:rPr>
      </w:pPr>
      <w:r w:rsidRPr="00026E87">
        <w:rPr>
          <w:rFonts w:ascii="Arial" w:eastAsia="Times New Roman" w:hAnsi="Arial" w:cs="Arial"/>
          <w:color w:val="1B1B1B"/>
          <w:sz w:val="26"/>
          <w:szCs w:val="26"/>
        </w:rPr>
        <w:t>Threatening employee with personal legal action/litigation</w:t>
      </w:r>
    </w:p>
    <w:p w14:paraId="27A637B5" w14:textId="77777777" w:rsidR="00026E87" w:rsidRPr="00026E87" w:rsidRDefault="00026E87" w:rsidP="00026E87">
      <w:pPr>
        <w:numPr>
          <w:ilvl w:val="2"/>
          <w:numId w:val="5"/>
        </w:numPr>
        <w:shd w:val="clear" w:color="auto" w:fill="FFFFFF"/>
        <w:spacing w:before="150" w:after="0" w:line="240" w:lineRule="auto"/>
        <w:ind w:left="4155" w:firstLine="0"/>
        <w:rPr>
          <w:rFonts w:ascii="Arial" w:eastAsia="Times New Roman" w:hAnsi="Arial" w:cs="Arial"/>
          <w:color w:val="1B1B1B"/>
          <w:sz w:val="26"/>
          <w:szCs w:val="26"/>
        </w:rPr>
      </w:pPr>
      <w:r w:rsidRPr="00026E87">
        <w:rPr>
          <w:rFonts w:ascii="Arial" w:eastAsia="Times New Roman" w:hAnsi="Arial" w:cs="Arial"/>
          <w:color w:val="1B1B1B"/>
          <w:sz w:val="26"/>
          <w:szCs w:val="26"/>
        </w:rPr>
        <w:t>Verbal/Physical threats or assaults</w:t>
      </w:r>
    </w:p>
    <w:p w14:paraId="2EB3EE00" w14:textId="77777777" w:rsidR="00026E87" w:rsidRPr="00026E87" w:rsidRDefault="00026E87" w:rsidP="00026E87">
      <w:pPr>
        <w:numPr>
          <w:ilvl w:val="2"/>
          <w:numId w:val="5"/>
        </w:numPr>
        <w:shd w:val="clear" w:color="auto" w:fill="FFFFFF"/>
        <w:spacing w:before="150" w:after="75" w:line="240" w:lineRule="auto"/>
        <w:ind w:left="4155" w:firstLine="0"/>
        <w:rPr>
          <w:rFonts w:ascii="Arial" w:eastAsia="Times New Roman" w:hAnsi="Arial" w:cs="Arial"/>
          <w:color w:val="1B1B1B"/>
          <w:sz w:val="26"/>
          <w:szCs w:val="26"/>
        </w:rPr>
      </w:pPr>
      <w:r w:rsidRPr="00026E87">
        <w:rPr>
          <w:rFonts w:ascii="Arial" w:eastAsia="Times New Roman" w:hAnsi="Arial" w:cs="Arial"/>
          <w:color w:val="1B1B1B"/>
          <w:sz w:val="26"/>
          <w:szCs w:val="26"/>
        </w:rPr>
        <w:t>Offering a bribe (e.g., offering gifts or other things of value)</w:t>
      </w:r>
    </w:p>
    <w:p w14:paraId="47BE4845" w14:textId="77777777" w:rsidR="00026E87" w:rsidRPr="00026E87" w:rsidRDefault="00026E87" w:rsidP="00026E87">
      <w:pPr>
        <w:shd w:val="clear" w:color="auto" w:fill="FFFFFF"/>
        <w:spacing w:before="75" w:after="0" w:line="240" w:lineRule="auto"/>
        <w:ind w:left="2745"/>
        <w:outlineLvl w:val="2"/>
        <w:rPr>
          <w:rFonts w:ascii="inherit" w:eastAsia="Times New Roman" w:hAnsi="inherit" w:cs="Arial"/>
          <w:b/>
          <w:bCs/>
          <w:color w:val="1B1B1B"/>
          <w:sz w:val="27"/>
          <w:szCs w:val="27"/>
        </w:rPr>
      </w:pPr>
      <w:bookmarkStart w:id="4" w:name="idm140489654568160"/>
      <w:bookmarkEnd w:id="4"/>
      <w:r w:rsidRPr="00026E87">
        <w:rPr>
          <w:rFonts w:ascii="inherit" w:eastAsia="Times New Roman" w:hAnsi="inherit" w:cs="Arial"/>
          <w:b/>
          <w:bCs/>
          <w:color w:val="1B1B1B"/>
          <w:sz w:val="27"/>
          <w:szCs w:val="27"/>
        </w:rPr>
        <w:t>Note:</w:t>
      </w:r>
    </w:p>
    <w:p w14:paraId="69E769D6" w14:textId="77777777" w:rsidR="00026E87" w:rsidRPr="00026E87" w:rsidRDefault="00026E87" w:rsidP="00026E87">
      <w:pPr>
        <w:shd w:val="clear" w:color="auto" w:fill="FFFFFF"/>
        <w:spacing w:after="0" w:line="240" w:lineRule="auto"/>
        <w:ind w:left="2745"/>
        <w:rPr>
          <w:rFonts w:ascii="Arial" w:eastAsia="Times New Roman" w:hAnsi="Arial" w:cs="Arial"/>
          <w:color w:val="1B1B1B"/>
          <w:sz w:val="26"/>
          <w:szCs w:val="26"/>
        </w:rPr>
      </w:pPr>
      <w:r w:rsidRPr="00026E87">
        <w:rPr>
          <w:rFonts w:ascii="Arial" w:eastAsia="Times New Roman" w:hAnsi="Arial" w:cs="Arial"/>
          <w:color w:val="1B1B1B"/>
          <w:sz w:val="26"/>
          <w:szCs w:val="26"/>
        </w:rPr>
        <w:t> </w:t>
      </w:r>
    </w:p>
    <w:p w14:paraId="6DD430B9" w14:textId="77777777" w:rsidR="00026E87" w:rsidRPr="00026E87" w:rsidRDefault="00026E87" w:rsidP="00026E87">
      <w:pPr>
        <w:shd w:val="clear" w:color="auto" w:fill="FFFFFF"/>
        <w:spacing w:after="0" w:line="240" w:lineRule="auto"/>
        <w:ind w:left="2745"/>
        <w:rPr>
          <w:rFonts w:ascii="Arial" w:eastAsia="Times New Roman" w:hAnsi="Arial" w:cs="Arial"/>
          <w:color w:val="1B1B1B"/>
          <w:sz w:val="26"/>
          <w:szCs w:val="26"/>
        </w:rPr>
      </w:pPr>
      <w:r w:rsidRPr="00026E87">
        <w:rPr>
          <w:rFonts w:ascii="Arial" w:eastAsia="Times New Roman" w:hAnsi="Arial" w:cs="Arial"/>
          <w:color w:val="1B1B1B"/>
          <w:sz w:val="26"/>
          <w:szCs w:val="26"/>
        </w:rPr>
        <w:t>Verbal and/or physical threats/assaults should be referred directly to the local TIGTA office or by calling the TIGTA National Hotline at 1–800–366–4484 or 1–800–589–3718 after hours.</w:t>
      </w:r>
    </w:p>
    <w:p w14:paraId="005E1E53" w14:textId="77777777" w:rsidR="00026E87" w:rsidRPr="00026E87" w:rsidRDefault="00026E87" w:rsidP="00026E87">
      <w:pPr>
        <w:numPr>
          <w:ilvl w:val="1"/>
          <w:numId w:val="5"/>
        </w:numPr>
        <w:shd w:val="clear" w:color="auto" w:fill="FFFFFF"/>
        <w:spacing w:before="150" w:after="150" w:line="240" w:lineRule="auto"/>
        <w:ind w:left="2745"/>
        <w:rPr>
          <w:rFonts w:ascii="Arial" w:eastAsia="Times New Roman" w:hAnsi="Arial" w:cs="Arial"/>
          <w:color w:val="1B1B1B"/>
          <w:sz w:val="26"/>
          <w:szCs w:val="26"/>
        </w:rPr>
      </w:pPr>
      <w:r w:rsidRPr="00026E87">
        <w:rPr>
          <w:rFonts w:ascii="Arial" w:eastAsia="Times New Roman" w:hAnsi="Arial" w:cs="Arial"/>
          <w:color w:val="1B1B1B"/>
          <w:sz w:val="26"/>
          <w:szCs w:val="26"/>
          <w:u w:val="single"/>
        </w:rPr>
        <w:t>Example 2</w:t>
      </w:r>
      <w:r w:rsidRPr="00026E87">
        <w:rPr>
          <w:rFonts w:ascii="Arial" w:eastAsia="Times New Roman" w:hAnsi="Arial" w:cs="Arial"/>
          <w:color w:val="1B1B1B"/>
          <w:sz w:val="26"/>
          <w:szCs w:val="26"/>
        </w:rPr>
        <w:t> — Establishing a pattern on several OIC cases to delay investigations by performing one or several of the following actions:</w:t>
      </w:r>
    </w:p>
    <w:p w14:paraId="35BE0608" w14:textId="77777777" w:rsidR="00026E87" w:rsidRPr="00026E87" w:rsidRDefault="00026E87" w:rsidP="00026E87">
      <w:pPr>
        <w:numPr>
          <w:ilvl w:val="2"/>
          <w:numId w:val="5"/>
        </w:numPr>
        <w:shd w:val="clear" w:color="auto" w:fill="FFFFFF"/>
        <w:spacing w:before="150" w:after="0" w:line="240" w:lineRule="auto"/>
        <w:ind w:left="4155" w:firstLine="0"/>
        <w:rPr>
          <w:rFonts w:ascii="Arial" w:eastAsia="Times New Roman" w:hAnsi="Arial" w:cs="Arial"/>
          <w:color w:val="1B1B1B"/>
          <w:sz w:val="26"/>
          <w:szCs w:val="26"/>
        </w:rPr>
      </w:pPr>
      <w:r w:rsidRPr="00026E87">
        <w:rPr>
          <w:rFonts w:ascii="Arial" w:eastAsia="Times New Roman" w:hAnsi="Arial" w:cs="Arial"/>
          <w:color w:val="1B1B1B"/>
          <w:sz w:val="26"/>
          <w:szCs w:val="26"/>
        </w:rPr>
        <w:t>Missing appointments</w:t>
      </w:r>
    </w:p>
    <w:p w14:paraId="55FA3D5E" w14:textId="77777777" w:rsidR="00026E87" w:rsidRPr="00026E87" w:rsidRDefault="00026E87" w:rsidP="00026E87">
      <w:pPr>
        <w:numPr>
          <w:ilvl w:val="2"/>
          <w:numId w:val="5"/>
        </w:numPr>
        <w:shd w:val="clear" w:color="auto" w:fill="FFFFFF"/>
        <w:spacing w:before="150" w:after="0" w:line="240" w:lineRule="auto"/>
        <w:ind w:left="4155" w:firstLine="0"/>
        <w:rPr>
          <w:rFonts w:ascii="Arial" w:eastAsia="Times New Roman" w:hAnsi="Arial" w:cs="Arial"/>
          <w:color w:val="1B1B1B"/>
          <w:sz w:val="26"/>
          <w:szCs w:val="26"/>
        </w:rPr>
      </w:pPr>
      <w:r w:rsidRPr="00026E87">
        <w:rPr>
          <w:rFonts w:ascii="Arial" w:eastAsia="Times New Roman" w:hAnsi="Arial" w:cs="Arial"/>
          <w:color w:val="1B1B1B"/>
          <w:sz w:val="26"/>
          <w:szCs w:val="26"/>
        </w:rPr>
        <w:t>Canceling appointments at the last moment with no good cause provided</w:t>
      </w:r>
    </w:p>
    <w:p w14:paraId="7C112CEA" w14:textId="77777777" w:rsidR="00026E87" w:rsidRPr="00026E87" w:rsidRDefault="00026E87" w:rsidP="00026E87">
      <w:pPr>
        <w:numPr>
          <w:ilvl w:val="2"/>
          <w:numId w:val="5"/>
        </w:numPr>
        <w:shd w:val="clear" w:color="auto" w:fill="FFFFFF"/>
        <w:spacing w:before="150" w:after="0" w:line="240" w:lineRule="auto"/>
        <w:ind w:left="4155" w:firstLine="0"/>
        <w:rPr>
          <w:rFonts w:ascii="Arial" w:eastAsia="Times New Roman" w:hAnsi="Arial" w:cs="Arial"/>
          <w:color w:val="1B1B1B"/>
          <w:sz w:val="26"/>
          <w:szCs w:val="26"/>
        </w:rPr>
      </w:pPr>
      <w:r w:rsidRPr="00026E87">
        <w:rPr>
          <w:rFonts w:ascii="Arial" w:eastAsia="Times New Roman" w:hAnsi="Arial" w:cs="Arial"/>
          <w:color w:val="1B1B1B"/>
          <w:sz w:val="26"/>
          <w:szCs w:val="26"/>
        </w:rPr>
        <w:lastRenderedPageBreak/>
        <w:t>Agreeing to provide requested documentation and/or information and then refusing to follow through, hindering the ability of the employee to complete the investigation of the offer</w:t>
      </w:r>
    </w:p>
    <w:p w14:paraId="39F5112F" w14:textId="77777777" w:rsidR="00026E87" w:rsidRPr="00026E87" w:rsidRDefault="00026E87" w:rsidP="00026E87">
      <w:pPr>
        <w:numPr>
          <w:ilvl w:val="2"/>
          <w:numId w:val="5"/>
        </w:numPr>
        <w:shd w:val="clear" w:color="auto" w:fill="FFFFFF"/>
        <w:spacing w:before="150" w:after="75" w:line="240" w:lineRule="auto"/>
        <w:ind w:left="4155" w:firstLine="0"/>
        <w:rPr>
          <w:rFonts w:ascii="Arial" w:eastAsia="Times New Roman" w:hAnsi="Arial" w:cs="Arial"/>
          <w:color w:val="1B1B1B"/>
          <w:sz w:val="26"/>
          <w:szCs w:val="26"/>
        </w:rPr>
      </w:pPr>
      <w:r w:rsidRPr="00026E87">
        <w:rPr>
          <w:rFonts w:ascii="Arial" w:eastAsia="Times New Roman" w:hAnsi="Arial" w:cs="Arial"/>
          <w:color w:val="1B1B1B"/>
          <w:sz w:val="26"/>
          <w:szCs w:val="26"/>
        </w:rPr>
        <w:t>Providing partial information requiring repeated call backs/correspondence and delays</w:t>
      </w:r>
    </w:p>
    <w:p w14:paraId="09A0FB70" w14:textId="77777777" w:rsidR="00026E87" w:rsidRPr="00026E87" w:rsidRDefault="00026E87" w:rsidP="00026E87">
      <w:pPr>
        <w:shd w:val="clear" w:color="auto" w:fill="FFFFFF"/>
        <w:spacing w:before="75" w:after="0" w:line="240" w:lineRule="auto"/>
        <w:ind w:left="2745"/>
        <w:outlineLvl w:val="2"/>
        <w:rPr>
          <w:rFonts w:ascii="inherit" w:eastAsia="Times New Roman" w:hAnsi="inherit" w:cs="Arial"/>
          <w:b/>
          <w:bCs/>
          <w:color w:val="1B1B1B"/>
          <w:sz w:val="27"/>
          <w:szCs w:val="27"/>
        </w:rPr>
      </w:pPr>
      <w:bookmarkStart w:id="5" w:name="idm140489654563552"/>
      <w:bookmarkEnd w:id="5"/>
      <w:r w:rsidRPr="00026E87">
        <w:rPr>
          <w:rFonts w:ascii="inherit" w:eastAsia="Times New Roman" w:hAnsi="inherit" w:cs="Arial"/>
          <w:b/>
          <w:bCs/>
          <w:color w:val="1B1B1B"/>
          <w:sz w:val="27"/>
          <w:szCs w:val="27"/>
        </w:rPr>
        <w:t>Note:</w:t>
      </w:r>
    </w:p>
    <w:p w14:paraId="7FDAB679" w14:textId="77777777" w:rsidR="00026E87" w:rsidRPr="00026E87" w:rsidRDefault="00026E87" w:rsidP="00026E87">
      <w:pPr>
        <w:shd w:val="clear" w:color="auto" w:fill="FFFFFF"/>
        <w:spacing w:after="0" w:line="240" w:lineRule="auto"/>
        <w:ind w:left="2745"/>
        <w:rPr>
          <w:rFonts w:ascii="Arial" w:eastAsia="Times New Roman" w:hAnsi="Arial" w:cs="Arial"/>
          <w:color w:val="1B1B1B"/>
          <w:sz w:val="26"/>
          <w:szCs w:val="26"/>
        </w:rPr>
      </w:pPr>
      <w:r w:rsidRPr="00026E87">
        <w:rPr>
          <w:rFonts w:ascii="Arial" w:eastAsia="Times New Roman" w:hAnsi="Arial" w:cs="Arial"/>
          <w:color w:val="1B1B1B"/>
          <w:sz w:val="26"/>
          <w:szCs w:val="26"/>
        </w:rPr>
        <w:t> </w:t>
      </w:r>
    </w:p>
    <w:p w14:paraId="04974868" w14:textId="77777777" w:rsidR="00026E87" w:rsidRPr="00026E87" w:rsidRDefault="00026E87" w:rsidP="00026E87">
      <w:pPr>
        <w:shd w:val="clear" w:color="auto" w:fill="FFFFFF"/>
        <w:spacing w:after="0" w:line="240" w:lineRule="auto"/>
        <w:ind w:left="2745"/>
        <w:rPr>
          <w:rFonts w:ascii="Arial" w:eastAsia="Times New Roman" w:hAnsi="Arial" w:cs="Arial"/>
          <w:color w:val="1B1B1B"/>
          <w:sz w:val="26"/>
          <w:szCs w:val="26"/>
        </w:rPr>
      </w:pPr>
      <w:r w:rsidRPr="00026E87">
        <w:rPr>
          <w:rFonts w:ascii="Arial" w:eastAsia="Times New Roman" w:hAnsi="Arial" w:cs="Arial"/>
          <w:color w:val="1B1B1B"/>
          <w:sz w:val="26"/>
          <w:szCs w:val="26"/>
        </w:rPr>
        <w:t>IRM 1.25.1.3, Referral to the Office of Professional Responsibility, states that a referral must clearly document all case actions leading to the request, and the practitioner's failure to comply. In instances of unreasonable delay on the part of a practitioner, POA bypass procedures should first be initiated prior to a referral to OPR. This set of facts may also support a referral under Section 10.22 (Diligence as to accuracy) and Section 10.23 (Prompt disposition of pending matters) of Circular 230. If a practitioner refused to provide documentation on grounds of privilege, the Office of Chief Counsel should be consulted.</w:t>
      </w:r>
    </w:p>
    <w:p w14:paraId="3AC1686B" w14:textId="77777777" w:rsidR="00026E87" w:rsidRPr="00026E87" w:rsidRDefault="00026E87" w:rsidP="00026E87">
      <w:pPr>
        <w:numPr>
          <w:ilvl w:val="1"/>
          <w:numId w:val="5"/>
        </w:numPr>
        <w:shd w:val="clear" w:color="auto" w:fill="FFFFFF"/>
        <w:spacing w:before="150" w:after="150" w:line="240" w:lineRule="auto"/>
        <w:ind w:left="2745"/>
        <w:rPr>
          <w:rFonts w:ascii="Arial" w:eastAsia="Times New Roman" w:hAnsi="Arial" w:cs="Arial"/>
          <w:color w:val="1B1B1B"/>
          <w:sz w:val="26"/>
          <w:szCs w:val="26"/>
        </w:rPr>
      </w:pPr>
      <w:r w:rsidRPr="00026E87">
        <w:rPr>
          <w:rFonts w:ascii="Arial" w:eastAsia="Times New Roman" w:hAnsi="Arial" w:cs="Arial"/>
          <w:color w:val="1B1B1B"/>
          <w:sz w:val="26"/>
          <w:szCs w:val="26"/>
          <w:u w:val="single"/>
        </w:rPr>
        <w:t>Example 3</w:t>
      </w:r>
      <w:r w:rsidRPr="00026E87">
        <w:rPr>
          <w:rFonts w:ascii="Arial" w:eastAsia="Times New Roman" w:hAnsi="Arial" w:cs="Arial"/>
          <w:color w:val="1B1B1B"/>
          <w:sz w:val="26"/>
          <w:szCs w:val="26"/>
        </w:rPr>
        <w:t xml:space="preserve"> — Establishing a pattern on several offer submissions of significant omissions, improper, or unsubstantiated discounts on </w:t>
      </w:r>
      <w:proofErr w:type="gramStart"/>
      <w:r w:rsidRPr="00026E87">
        <w:rPr>
          <w:rFonts w:ascii="Arial" w:eastAsia="Times New Roman" w:hAnsi="Arial" w:cs="Arial"/>
          <w:color w:val="1B1B1B"/>
          <w:sz w:val="26"/>
          <w:szCs w:val="26"/>
        </w:rPr>
        <w:t>a number of</w:t>
      </w:r>
      <w:proofErr w:type="gramEnd"/>
      <w:r w:rsidRPr="00026E87">
        <w:rPr>
          <w:rFonts w:ascii="Arial" w:eastAsia="Times New Roman" w:hAnsi="Arial" w:cs="Arial"/>
          <w:color w:val="1B1B1B"/>
          <w:sz w:val="26"/>
          <w:szCs w:val="26"/>
        </w:rPr>
        <w:t xml:space="preserve"> assets. The information provided must be shown to be materially misrepresented, not merely a simple error. The omissions or material misrepresentations could include, but are not limited to, the following:</w:t>
      </w:r>
    </w:p>
    <w:p w14:paraId="28CF91E9" w14:textId="77777777" w:rsidR="00026E87" w:rsidRPr="00026E87" w:rsidRDefault="00026E87" w:rsidP="00026E87">
      <w:pPr>
        <w:numPr>
          <w:ilvl w:val="2"/>
          <w:numId w:val="5"/>
        </w:numPr>
        <w:shd w:val="clear" w:color="auto" w:fill="FFFFFF"/>
        <w:spacing w:before="150" w:after="0" w:line="240" w:lineRule="auto"/>
        <w:ind w:left="4155" w:firstLine="0"/>
        <w:rPr>
          <w:rFonts w:ascii="Arial" w:eastAsia="Times New Roman" w:hAnsi="Arial" w:cs="Arial"/>
          <w:color w:val="1B1B1B"/>
          <w:sz w:val="26"/>
          <w:szCs w:val="26"/>
        </w:rPr>
      </w:pPr>
      <w:r w:rsidRPr="00026E87">
        <w:rPr>
          <w:rFonts w:ascii="Arial" w:eastAsia="Times New Roman" w:hAnsi="Arial" w:cs="Arial"/>
          <w:color w:val="1B1B1B"/>
          <w:sz w:val="26"/>
          <w:szCs w:val="26"/>
        </w:rPr>
        <w:t>Omitting or undervaluing assets on CIS</w:t>
      </w:r>
    </w:p>
    <w:p w14:paraId="3E1D6499" w14:textId="77777777" w:rsidR="00026E87" w:rsidRPr="00026E87" w:rsidRDefault="00026E87" w:rsidP="00026E87">
      <w:pPr>
        <w:numPr>
          <w:ilvl w:val="2"/>
          <w:numId w:val="5"/>
        </w:numPr>
        <w:shd w:val="clear" w:color="auto" w:fill="FFFFFF"/>
        <w:spacing w:before="150" w:after="0" w:line="240" w:lineRule="auto"/>
        <w:ind w:left="4155" w:firstLine="0"/>
        <w:rPr>
          <w:rFonts w:ascii="Arial" w:eastAsia="Times New Roman" w:hAnsi="Arial" w:cs="Arial"/>
          <w:color w:val="1B1B1B"/>
          <w:sz w:val="26"/>
          <w:szCs w:val="26"/>
        </w:rPr>
      </w:pPr>
      <w:r w:rsidRPr="00026E87">
        <w:rPr>
          <w:rFonts w:ascii="Arial" w:eastAsia="Times New Roman" w:hAnsi="Arial" w:cs="Arial"/>
          <w:color w:val="1B1B1B"/>
          <w:sz w:val="26"/>
          <w:szCs w:val="26"/>
        </w:rPr>
        <w:t>Understating the taxpayer's income and / or overstating the taxpayer’s expenses</w:t>
      </w:r>
    </w:p>
    <w:p w14:paraId="08A909F7" w14:textId="77777777" w:rsidR="00026E87" w:rsidRPr="00026E87" w:rsidRDefault="00026E87" w:rsidP="00026E87">
      <w:pPr>
        <w:numPr>
          <w:ilvl w:val="2"/>
          <w:numId w:val="5"/>
        </w:numPr>
        <w:shd w:val="clear" w:color="auto" w:fill="FFFFFF"/>
        <w:spacing w:before="150" w:after="0" w:line="240" w:lineRule="auto"/>
        <w:ind w:left="4155" w:firstLine="0"/>
        <w:rPr>
          <w:rFonts w:ascii="Arial" w:eastAsia="Times New Roman" w:hAnsi="Arial" w:cs="Arial"/>
          <w:color w:val="1B1B1B"/>
          <w:sz w:val="26"/>
          <w:szCs w:val="26"/>
        </w:rPr>
      </w:pPr>
      <w:r w:rsidRPr="00026E87">
        <w:rPr>
          <w:rFonts w:ascii="Arial" w:eastAsia="Times New Roman" w:hAnsi="Arial" w:cs="Arial"/>
          <w:color w:val="1B1B1B"/>
          <w:sz w:val="26"/>
          <w:szCs w:val="26"/>
        </w:rPr>
        <w:t xml:space="preserve">Listing </w:t>
      </w:r>
      <w:proofErr w:type="gramStart"/>
      <w:r w:rsidRPr="00026E87">
        <w:rPr>
          <w:rFonts w:ascii="Arial" w:eastAsia="Times New Roman" w:hAnsi="Arial" w:cs="Arial"/>
          <w:color w:val="1B1B1B"/>
          <w:sz w:val="26"/>
          <w:szCs w:val="26"/>
        </w:rPr>
        <w:t>a large number of</w:t>
      </w:r>
      <w:proofErr w:type="gramEnd"/>
      <w:r w:rsidRPr="00026E87">
        <w:rPr>
          <w:rFonts w:ascii="Arial" w:eastAsia="Times New Roman" w:hAnsi="Arial" w:cs="Arial"/>
          <w:color w:val="1B1B1B"/>
          <w:sz w:val="26"/>
          <w:szCs w:val="26"/>
        </w:rPr>
        <w:t xml:space="preserve"> claimed dependents on CIS</w:t>
      </w:r>
    </w:p>
    <w:p w14:paraId="57F00E0A" w14:textId="77777777" w:rsidR="00026E87" w:rsidRPr="00026E87" w:rsidRDefault="00026E87" w:rsidP="00026E87">
      <w:pPr>
        <w:numPr>
          <w:ilvl w:val="2"/>
          <w:numId w:val="5"/>
        </w:numPr>
        <w:shd w:val="clear" w:color="auto" w:fill="FFFFFF"/>
        <w:spacing w:before="150" w:after="0" w:line="240" w:lineRule="auto"/>
        <w:ind w:left="4155" w:firstLine="0"/>
        <w:rPr>
          <w:rFonts w:ascii="Arial" w:eastAsia="Times New Roman" w:hAnsi="Arial" w:cs="Arial"/>
          <w:color w:val="1B1B1B"/>
          <w:sz w:val="26"/>
          <w:szCs w:val="26"/>
        </w:rPr>
      </w:pPr>
      <w:r w:rsidRPr="00026E87">
        <w:rPr>
          <w:rFonts w:ascii="Arial" w:eastAsia="Times New Roman" w:hAnsi="Arial" w:cs="Arial"/>
          <w:color w:val="1B1B1B"/>
          <w:sz w:val="26"/>
          <w:szCs w:val="26"/>
        </w:rPr>
        <w:t>Listing similar dollar amounts in both checking and savings accounts</w:t>
      </w:r>
    </w:p>
    <w:p w14:paraId="2F577026" w14:textId="77777777" w:rsidR="00026E87" w:rsidRPr="00026E87" w:rsidRDefault="00026E87" w:rsidP="00026E87">
      <w:pPr>
        <w:numPr>
          <w:ilvl w:val="2"/>
          <w:numId w:val="5"/>
        </w:numPr>
        <w:shd w:val="clear" w:color="auto" w:fill="FFFFFF"/>
        <w:spacing w:before="150" w:after="0" w:line="240" w:lineRule="auto"/>
        <w:ind w:left="4155" w:firstLine="0"/>
        <w:rPr>
          <w:rFonts w:ascii="Arial" w:eastAsia="Times New Roman" w:hAnsi="Arial" w:cs="Arial"/>
          <w:color w:val="1B1B1B"/>
          <w:sz w:val="26"/>
          <w:szCs w:val="26"/>
        </w:rPr>
      </w:pPr>
      <w:r w:rsidRPr="00026E87">
        <w:rPr>
          <w:rFonts w:ascii="Arial" w:eastAsia="Times New Roman" w:hAnsi="Arial" w:cs="Arial"/>
          <w:color w:val="1B1B1B"/>
          <w:sz w:val="26"/>
          <w:szCs w:val="26"/>
        </w:rPr>
        <w:t>Claiming no available credit on CIS, including credit cards</w:t>
      </w:r>
    </w:p>
    <w:p w14:paraId="48762577" w14:textId="77777777" w:rsidR="00026E87" w:rsidRPr="00026E87" w:rsidRDefault="00026E87" w:rsidP="00026E87">
      <w:pPr>
        <w:numPr>
          <w:ilvl w:val="2"/>
          <w:numId w:val="5"/>
        </w:numPr>
        <w:shd w:val="clear" w:color="auto" w:fill="FFFFFF"/>
        <w:spacing w:before="150" w:after="75" w:line="240" w:lineRule="auto"/>
        <w:ind w:left="4155" w:firstLine="0"/>
        <w:rPr>
          <w:rFonts w:ascii="Arial" w:eastAsia="Times New Roman" w:hAnsi="Arial" w:cs="Arial"/>
          <w:color w:val="1B1B1B"/>
          <w:sz w:val="26"/>
          <w:szCs w:val="26"/>
        </w:rPr>
      </w:pPr>
      <w:r w:rsidRPr="00026E87">
        <w:rPr>
          <w:rFonts w:ascii="Arial" w:eastAsia="Times New Roman" w:hAnsi="Arial" w:cs="Arial"/>
          <w:color w:val="1B1B1B"/>
          <w:sz w:val="26"/>
          <w:szCs w:val="26"/>
        </w:rPr>
        <w:lastRenderedPageBreak/>
        <w:t>Listing similar amounts for monthly income and expenses in different cases (</w:t>
      </w:r>
      <w:proofErr w:type="gramStart"/>
      <w:r w:rsidRPr="00026E87">
        <w:rPr>
          <w:rFonts w:ascii="Arial" w:eastAsia="Times New Roman" w:hAnsi="Arial" w:cs="Arial"/>
          <w:color w:val="1B1B1B"/>
          <w:sz w:val="26"/>
          <w:szCs w:val="26"/>
        </w:rPr>
        <w:t>e.g.</w:t>
      </w:r>
      <w:proofErr w:type="gramEnd"/>
      <w:r w:rsidRPr="00026E87">
        <w:rPr>
          <w:rFonts w:ascii="Arial" w:eastAsia="Times New Roman" w:hAnsi="Arial" w:cs="Arial"/>
          <w:color w:val="1B1B1B"/>
          <w:sz w:val="26"/>
          <w:szCs w:val="26"/>
        </w:rPr>
        <w:t xml:space="preserve"> same low wages, same child care expenses)</w:t>
      </w:r>
    </w:p>
    <w:p w14:paraId="778820E4" w14:textId="77777777" w:rsidR="00026E87" w:rsidRPr="00026E87" w:rsidRDefault="00026E87" w:rsidP="00026E87">
      <w:pPr>
        <w:numPr>
          <w:ilvl w:val="0"/>
          <w:numId w:val="5"/>
        </w:numPr>
        <w:shd w:val="clear" w:color="auto" w:fill="FFFFFF"/>
        <w:spacing w:before="150" w:after="150" w:line="240" w:lineRule="auto"/>
        <w:ind w:left="1335" w:firstLine="0"/>
        <w:rPr>
          <w:rFonts w:ascii="Arial" w:eastAsia="Times New Roman" w:hAnsi="Arial" w:cs="Arial"/>
          <w:color w:val="1B1B1B"/>
        </w:rPr>
      </w:pPr>
      <w:r w:rsidRPr="00026E87">
        <w:rPr>
          <w:rFonts w:ascii="Arial" w:eastAsia="Times New Roman" w:hAnsi="Arial" w:cs="Arial"/>
          <w:color w:val="1B1B1B"/>
        </w:rPr>
        <w:t>The badges of practitioner misconduct may also be indicators of potential fraud. (Refer to </w:t>
      </w:r>
      <w:r w:rsidRPr="00026E87">
        <w:rPr>
          <w:rFonts w:ascii="Arial" w:eastAsia="Times New Roman" w:hAnsi="Arial" w:cs="Arial"/>
          <w:i/>
          <w:iCs/>
          <w:color w:val="1B1B1B"/>
        </w:rPr>
        <w:t>IRM 5.8.10.10</w:t>
      </w:r>
      <w:r w:rsidRPr="00026E87">
        <w:rPr>
          <w:rFonts w:ascii="Arial" w:eastAsia="Times New Roman" w:hAnsi="Arial" w:cs="Arial"/>
          <w:color w:val="1B1B1B"/>
        </w:rPr>
        <w:t>.) The inappropriate misconduct should be discussed with your fraud technical advisor (FTA) if appropriate. If a decision is made to refer the practitioner to TIGTA and/or the Fraud program for potential criminal sanctions, these actions must be clearly documented in the OPR referral.</w:t>
      </w:r>
    </w:p>
    <w:p w14:paraId="3C62C2CA" w14:textId="77777777" w:rsidR="00026E87" w:rsidRPr="00026E87" w:rsidRDefault="00026E87" w:rsidP="00026E87">
      <w:pPr>
        <w:shd w:val="clear" w:color="auto" w:fill="FFFFFF"/>
        <w:spacing w:after="0" w:line="240" w:lineRule="auto"/>
        <w:rPr>
          <w:rFonts w:ascii="Arial" w:eastAsia="Times New Roman" w:hAnsi="Arial" w:cs="Arial"/>
          <w:color w:val="1B1B1B"/>
        </w:rPr>
      </w:pPr>
      <w:r w:rsidRPr="00026E87">
        <w:rPr>
          <w:rFonts w:ascii="Arial" w:eastAsia="Times New Roman" w:hAnsi="Arial" w:cs="Arial"/>
          <w:b/>
          <w:bCs/>
          <w:color w:val="1B1B1B"/>
        </w:rPr>
        <w:t>5.8.10.9.3 (07-20-2020)</w:t>
      </w:r>
    </w:p>
    <w:p w14:paraId="33D791E1" w14:textId="77777777" w:rsidR="00026E87" w:rsidRPr="00026E87" w:rsidRDefault="00026E87" w:rsidP="00026E87">
      <w:pPr>
        <w:shd w:val="clear" w:color="auto" w:fill="FFFFFF"/>
        <w:spacing w:before="75" w:after="75" w:line="240" w:lineRule="auto"/>
        <w:outlineLvl w:val="3"/>
        <w:rPr>
          <w:rFonts w:ascii="inherit" w:eastAsia="Times New Roman" w:hAnsi="inherit" w:cs="Arial"/>
          <w:b/>
          <w:bCs/>
          <w:color w:val="1B1B1B"/>
        </w:rPr>
      </w:pPr>
      <w:bookmarkStart w:id="6" w:name="idm140489654556176"/>
      <w:bookmarkEnd w:id="6"/>
      <w:r w:rsidRPr="00026E87">
        <w:rPr>
          <w:rFonts w:ascii="inherit" w:eastAsia="Times New Roman" w:hAnsi="inherit" w:cs="Arial"/>
          <w:b/>
          <w:bCs/>
          <w:color w:val="1B1B1B"/>
        </w:rPr>
        <w:t>Referring Tax Practitioner Misconduct to the Office of Professional Responsibility</w:t>
      </w:r>
    </w:p>
    <w:p w14:paraId="70043E0D" w14:textId="77777777" w:rsidR="00026E87" w:rsidRPr="00026E87" w:rsidRDefault="00026E87" w:rsidP="00026E87">
      <w:pPr>
        <w:numPr>
          <w:ilvl w:val="0"/>
          <w:numId w:val="6"/>
        </w:numPr>
        <w:shd w:val="clear" w:color="auto" w:fill="FFFFFF"/>
        <w:spacing w:before="150" w:after="150" w:line="240" w:lineRule="auto"/>
        <w:ind w:left="1335" w:firstLine="0"/>
        <w:rPr>
          <w:rFonts w:ascii="Arial" w:eastAsia="Times New Roman" w:hAnsi="Arial" w:cs="Arial"/>
          <w:color w:val="1B1B1B"/>
        </w:rPr>
      </w:pPr>
      <w:r w:rsidRPr="00026E87">
        <w:rPr>
          <w:rFonts w:ascii="Arial" w:eastAsia="Times New Roman" w:hAnsi="Arial" w:cs="Arial"/>
          <w:color w:val="1B1B1B"/>
        </w:rPr>
        <w:t>Employees should be alert to the patterns and/or trends of inappropriate conduct as discussed in </w:t>
      </w:r>
      <w:r w:rsidRPr="00026E87">
        <w:rPr>
          <w:rFonts w:ascii="Arial" w:eastAsia="Times New Roman" w:hAnsi="Arial" w:cs="Arial"/>
          <w:i/>
          <w:iCs/>
          <w:color w:val="1B1B1B"/>
        </w:rPr>
        <w:t>IRM 5.8.10.9</w:t>
      </w:r>
      <w:r w:rsidRPr="00026E87">
        <w:rPr>
          <w:rFonts w:ascii="Arial" w:eastAsia="Times New Roman" w:hAnsi="Arial" w:cs="Arial"/>
          <w:color w:val="1B1B1B"/>
        </w:rPr>
        <w:t>, Indicators of Potential Practitioner Misconduct. When patterns and/or trends are identified through OICs submitted by a tax practitioner, or when reported to an IRS employee by any person other than an officer or employee of the IRS, the employee should complete and submit Form 8484, Suspected Practitioner Misconduct Report for the Office of Professional Responsibility, to the OPR, and refer the suspected practitioner misconduct for any appropriate disciplinary action.</w:t>
      </w:r>
    </w:p>
    <w:p w14:paraId="6DCD6657" w14:textId="77777777" w:rsidR="00026E87" w:rsidRPr="00026E87" w:rsidRDefault="00026E87" w:rsidP="00026E87">
      <w:pPr>
        <w:numPr>
          <w:ilvl w:val="0"/>
          <w:numId w:val="6"/>
        </w:numPr>
        <w:shd w:val="clear" w:color="auto" w:fill="FFFFFF"/>
        <w:spacing w:before="150" w:after="150" w:line="240" w:lineRule="auto"/>
        <w:ind w:left="1335" w:firstLine="0"/>
        <w:rPr>
          <w:rFonts w:ascii="Arial" w:eastAsia="Times New Roman" w:hAnsi="Arial" w:cs="Arial"/>
          <w:color w:val="1B1B1B"/>
        </w:rPr>
      </w:pPr>
      <w:r w:rsidRPr="00026E87">
        <w:rPr>
          <w:rFonts w:ascii="Arial" w:eastAsia="Times New Roman" w:hAnsi="Arial" w:cs="Arial"/>
          <w:color w:val="1B1B1B"/>
        </w:rPr>
        <w:t xml:space="preserve">Circular No. 230, Section 10.53 states a referral should include </w:t>
      </w:r>
      <w:proofErr w:type="gramStart"/>
      <w:r w:rsidRPr="00026E87">
        <w:rPr>
          <w:rFonts w:ascii="Arial" w:eastAsia="Times New Roman" w:hAnsi="Arial" w:cs="Arial"/>
          <w:color w:val="1B1B1B"/>
        </w:rPr>
        <w:t>all of</w:t>
      </w:r>
      <w:proofErr w:type="gramEnd"/>
      <w:r w:rsidRPr="00026E87">
        <w:rPr>
          <w:rFonts w:ascii="Arial" w:eastAsia="Times New Roman" w:hAnsi="Arial" w:cs="Arial"/>
          <w:color w:val="1B1B1B"/>
        </w:rPr>
        <w:t xml:space="preserve"> the basic information, including details of why the referral meets the criteria outlined above. The referral should contain the following specific information: the tax practitioner's name, address, telephone number, designation (</w:t>
      </w:r>
      <w:proofErr w:type="gramStart"/>
      <w:r w:rsidRPr="00026E87">
        <w:rPr>
          <w:rFonts w:ascii="Arial" w:eastAsia="Times New Roman" w:hAnsi="Arial" w:cs="Arial"/>
          <w:color w:val="1B1B1B"/>
        </w:rPr>
        <w:t>i.e.</w:t>
      </w:r>
      <w:proofErr w:type="gramEnd"/>
      <w:r w:rsidRPr="00026E87">
        <w:rPr>
          <w:rFonts w:ascii="Arial" w:eastAsia="Times New Roman" w:hAnsi="Arial" w:cs="Arial"/>
          <w:color w:val="1B1B1B"/>
        </w:rPr>
        <w:t xml:space="preserve"> attorney, certified public accountant, enrolled agent, enrolled actuary, etc.), a detailed description of the allegations, and any documents that support the allegations. The Form 8484 must be signed by the referring employee’s manager.</w:t>
      </w:r>
    </w:p>
    <w:p w14:paraId="7BDC0DEA" w14:textId="77777777" w:rsidR="00026E87" w:rsidRPr="00026E87" w:rsidRDefault="00026E87" w:rsidP="00026E87">
      <w:pPr>
        <w:numPr>
          <w:ilvl w:val="0"/>
          <w:numId w:val="6"/>
        </w:numPr>
        <w:shd w:val="clear" w:color="auto" w:fill="FFFFFF"/>
        <w:spacing w:before="150" w:after="150" w:line="240" w:lineRule="auto"/>
        <w:ind w:left="1335" w:firstLine="0"/>
        <w:rPr>
          <w:rFonts w:ascii="Arial" w:eastAsia="Times New Roman" w:hAnsi="Arial" w:cs="Arial"/>
          <w:color w:val="1B1B1B"/>
        </w:rPr>
      </w:pPr>
      <w:r w:rsidRPr="00026E87">
        <w:rPr>
          <w:rFonts w:ascii="Arial" w:eastAsia="Times New Roman" w:hAnsi="Arial" w:cs="Arial"/>
          <w:color w:val="1B1B1B"/>
        </w:rPr>
        <w:t>Mail, fax, or E-mail the Form 8484, the accompanying narrative, and any other supporting documents to:</w:t>
      </w:r>
    </w:p>
    <w:p w14:paraId="440EC304" w14:textId="77777777" w:rsidR="00026E87" w:rsidRPr="00026E87" w:rsidRDefault="00026E87" w:rsidP="00026E87">
      <w:pPr>
        <w:shd w:val="clear" w:color="auto" w:fill="FFFFFF"/>
        <w:spacing w:before="150" w:after="0" w:line="240" w:lineRule="auto"/>
        <w:ind w:left="1785"/>
        <w:rPr>
          <w:rFonts w:ascii="Arial" w:eastAsia="Times New Roman" w:hAnsi="Arial" w:cs="Arial"/>
          <w:color w:val="1B1B1B"/>
          <w:sz w:val="26"/>
          <w:szCs w:val="26"/>
        </w:rPr>
      </w:pPr>
      <w:r w:rsidRPr="00026E87">
        <w:rPr>
          <w:rFonts w:ascii="Arial" w:eastAsia="Times New Roman" w:hAnsi="Arial" w:cs="Arial"/>
          <w:color w:val="1B1B1B"/>
          <w:sz w:val="26"/>
          <w:szCs w:val="26"/>
        </w:rPr>
        <w:t>IRS Office of Professional Responsibility</w:t>
      </w:r>
      <w:r w:rsidRPr="00026E87">
        <w:rPr>
          <w:rFonts w:ascii="Arial" w:eastAsia="Times New Roman" w:hAnsi="Arial" w:cs="Arial"/>
          <w:color w:val="1B1B1B"/>
          <w:sz w:val="26"/>
          <w:szCs w:val="26"/>
        </w:rPr>
        <w:br/>
      </w:r>
      <w:proofErr w:type="gramStart"/>
      <w:r w:rsidRPr="00026E87">
        <w:rPr>
          <w:rFonts w:ascii="Arial" w:eastAsia="Times New Roman" w:hAnsi="Arial" w:cs="Arial"/>
          <w:color w:val="1B1B1B"/>
          <w:sz w:val="26"/>
          <w:szCs w:val="26"/>
        </w:rPr>
        <w:t>SE:OPR</w:t>
      </w:r>
      <w:proofErr w:type="gramEnd"/>
      <w:r w:rsidRPr="00026E87">
        <w:rPr>
          <w:rFonts w:ascii="Arial" w:eastAsia="Times New Roman" w:hAnsi="Arial" w:cs="Arial"/>
          <w:color w:val="1B1B1B"/>
          <w:sz w:val="26"/>
          <w:szCs w:val="26"/>
        </w:rPr>
        <w:t xml:space="preserve"> Room 7238</w:t>
      </w:r>
      <w:r w:rsidRPr="00026E87">
        <w:rPr>
          <w:rFonts w:ascii="Arial" w:eastAsia="Times New Roman" w:hAnsi="Arial" w:cs="Arial"/>
          <w:color w:val="1B1B1B"/>
          <w:sz w:val="26"/>
          <w:szCs w:val="26"/>
        </w:rPr>
        <w:br/>
        <w:t>1111 Constitution Ave, NW</w:t>
      </w:r>
      <w:r w:rsidRPr="00026E87">
        <w:rPr>
          <w:rFonts w:ascii="Arial" w:eastAsia="Times New Roman" w:hAnsi="Arial" w:cs="Arial"/>
          <w:color w:val="1B1B1B"/>
          <w:sz w:val="26"/>
          <w:szCs w:val="26"/>
        </w:rPr>
        <w:br/>
        <w:t>Washington, DC 20224</w:t>
      </w:r>
      <w:r w:rsidRPr="00026E87">
        <w:rPr>
          <w:rFonts w:ascii="Arial" w:eastAsia="Times New Roman" w:hAnsi="Arial" w:cs="Arial"/>
          <w:color w:val="1B1B1B"/>
          <w:sz w:val="26"/>
          <w:szCs w:val="26"/>
        </w:rPr>
        <w:br/>
        <w:t>E-mail address: *OPR referrals</w:t>
      </w:r>
    </w:p>
    <w:p w14:paraId="055C57C8" w14:textId="77777777" w:rsidR="00026E87" w:rsidRPr="00026E87" w:rsidRDefault="00026E87" w:rsidP="00026E87">
      <w:pPr>
        <w:shd w:val="clear" w:color="auto" w:fill="FFFFFF"/>
        <w:spacing w:before="150" w:after="150" w:line="240" w:lineRule="auto"/>
        <w:ind w:left="1335"/>
        <w:rPr>
          <w:rFonts w:ascii="Arial" w:eastAsia="Times New Roman" w:hAnsi="Arial" w:cs="Arial"/>
          <w:color w:val="1B1B1B"/>
        </w:rPr>
      </w:pPr>
      <w:r w:rsidRPr="00026E87">
        <w:rPr>
          <w:rFonts w:ascii="Arial" w:eastAsia="Times New Roman" w:hAnsi="Arial" w:cs="Arial"/>
          <w:color w:val="1B1B1B"/>
        </w:rPr>
        <w:br/>
        <w:t>A copy of the referral should also be provided to the National Offer in Compromise Program Manager.</w:t>
      </w:r>
    </w:p>
    <w:p w14:paraId="42A059A4" w14:textId="77777777" w:rsidR="00026E87" w:rsidRPr="00026E87" w:rsidRDefault="00026E87" w:rsidP="00026E87">
      <w:pPr>
        <w:numPr>
          <w:ilvl w:val="0"/>
          <w:numId w:val="6"/>
        </w:numPr>
        <w:shd w:val="clear" w:color="auto" w:fill="FFFFFF"/>
        <w:spacing w:before="150" w:after="150" w:line="240" w:lineRule="auto"/>
        <w:ind w:left="1335" w:firstLine="0"/>
        <w:rPr>
          <w:rFonts w:ascii="Arial" w:eastAsia="Times New Roman" w:hAnsi="Arial" w:cs="Arial"/>
          <w:color w:val="1B1B1B"/>
        </w:rPr>
      </w:pPr>
      <w:r w:rsidRPr="00026E87">
        <w:rPr>
          <w:rFonts w:ascii="Arial" w:eastAsia="Times New Roman" w:hAnsi="Arial" w:cs="Arial"/>
          <w:color w:val="1B1B1B"/>
        </w:rPr>
        <w:t>Additional information about reporting suspected practitioner misconduct may be found on the OPR Intranet Website.</w:t>
      </w:r>
    </w:p>
    <w:p w14:paraId="1C9BB515" w14:textId="77777777" w:rsidR="00026E87" w:rsidRPr="00026E87" w:rsidRDefault="00026E87" w:rsidP="00026E87">
      <w:pPr>
        <w:shd w:val="clear" w:color="auto" w:fill="FFFFFF"/>
        <w:spacing w:after="0" w:line="240" w:lineRule="auto"/>
        <w:rPr>
          <w:rFonts w:ascii="Arial" w:eastAsia="Times New Roman" w:hAnsi="Arial" w:cs="Arial"/>
          <w:color w:val="1B1B1B"/>
        </w:rPr>
      </w:pPr>
      <w:r w:rsidRPr="00026E87">
        <w:rPr>
          <w:rFonts w:ascii="Arial" w:eastAsia="Times New Roman" w:hAnsi="Arial" w:cs="Arial"/>
          <w:b/>
          <w:bCs/>
          <w:color w:val="1B1B1B"/>
        </w:rPr>
        <w:t>5.8.10.9.4 (07-20-2020)</w:t>
      </w:r>
    </w:p>
    <w:p w14:paraId="1C7EAB91" w14:textId="77777777" w:rsidR="00026E87" w:rsidRPr="00026E87" w:rsidRDefault="00026E87" w:rsidP="00026E87">
      <w:pPr>
        <w:shd w:val="clear" w:color="auto" w:fill="FFFFFF"/>
        <w:spacing w:before="75" w:after="75" w:line="240" w:lineRule="auto"/>
        <w:outlineLvl w:val="3"/>
        <w:rPr>
          <w:rFonts w:ascii="inherit" w:eastAsia="Times New Roman" w:hAnsi="inherit" w:cs="Arial"/>
          <w:b/>
          <w:bCs/>
          <w:color w:val="1B1B1B"/>
        </w:rPr>
      </w:pPr>
      <w:bookmarkStart w:id="7" w:name="idm140489654735568"/>
      <w:bookmarkEnd w:id="7"/>
      <w:r w:rsidRPr="00026E87">
        <w:rPr>
          <w:rFonts w:ascii="inherit" w:eastAsia="Times New Roman" w:hAnsi="inherit" w:cs="Arial"/>
          <w:b/>
          <w:bCs/>
          <w:color w:val="1B1B1B"/>
        </w:rPr>
        <w:lastRenderedPageBreak/>
        <w:t>Preparation of Form 8484, </w:t>
      </w:r>
      <w:r w:rsidRPr="00026E87">
        <w:rPr>
          <w:rFonts w:ascii="inherit" w:eastAsia="Times New Roman" w:hAnsi="inherit" w:cs="Arial"/>
          <w:b/>
          <w:bCs/>
          <w:i/>
          <w:iCs/>
          <w:color w:val="1B1B1B"/>
        </w:rPr>
        <w:t>Suspected Practitioner Misconduct Report for the Office of Professional Responsibility</w:t>
      </w:r>
      <w:r w:rsidRPr="00026E87">
        <w:rPr>
          <w:rFonts w:ascii="inherit" w:eastAsia="Times New Roman" w:hAnsi="inherit" w:cs="Arial"/>
          <w:b/>
          <w:bCs/>
          <w:color w:val="1B1B1B"/>
        </w:rPr>
        <w:t> (OPR)</w:t>
      </w:r>
    </w:p>
    <w:p w14:paraId="42889159" w14:textId="77777777" w:rsidR="00026E87" w:rsidRPr="00026E87" w:rsidRDefault="00026E87" w:rsidP="00026E87">
      <w:pPr>
        <w:numPr>
          <w:ilvl w:val="0"/>
          <w:numId w:val="7"/>
        </w:numPr>
        <w:shd w:val="clear" w:color="auto" w:fill="FFFFFF"/>
        <w:spacing w:before="150" w:after="150" w:line="240" w:lineRule="auto"/>
        <w:ind w:left="1335" w:firstLine="0"/>
        <w:rPr>
          <w:rFonts w:ascii="Arial" w:eastAsia="Times New Roman" w:hAnsi="Arial" w:cs="Arial"/>
          <w:color w:val="1B1B1B"/>
        </w:rPr>
      </w:pPr>
      <w:r w:rsidRPr="00026E87">
        <w:rPr>
          <w:rFonts w:ascii="Arial" w:eastAsia="Times New Roman" w:hAnsi="Arial" w:cs="Arial"/>
          <w:i/>
          <w:iCs/>
          <w:color w:val="1B1B1B"/>
          <w:u w:val="single"/>
        </w:rPr>
        <w:t>Part A – Practitioner Information:</w:t>
      </w:r>
      <w:r w:rsidRPr="00026E87">
        <w:rPr>
          <w:rFonts w:ascii="Arial" w:eastAsia="Times New Roman" w:hAnsi="Arial" w:cs="Arial"/>
          <w:color w:val="1B1B1B"/>
        </w:rPr>
        <w:t> Practitioner information must include the practitioner's name, mailing address, telephone number, fax number, social security number, and CAF number. Indicate whether the practitioner is an attorney, certified public accountant, enrolled agent, enrolled actuary, or appraiser.</w:t>
      </w:r>
    </w:p>
    <w:p w14:paraId="0C3CDB9A" w14:textId="77777777" w:rsidR="00026E87" w:rsidRPr="00026E87" w:rsidRDefault="00026E87" w:rsidP="00026E87">
      <w:pPr>
        <w:numPr>
          <w:ilvl w:val="0"/>
          <w:numId w:val="7"/>
        </w:numPr>
        <w:shd w:val="clear" w:color="auto" w:fill="FFFFFF"/>
        <w:spacing w:before="150" w:after="150" w:line="240" w:lineRule="auto"/>
        <w:ind w:left="1335" w:firstLine="0"/>
        <w:rPr>
          <w:rFonts w:ascii="Arial" w:eastAsia="Times New Roman" w:hAnsi="Arial" w:cs="Arial"/>
          <w:color w:val="1B1B1B"/>
        </w:rPr>
      </w:pPr>
      <w:r w:rsidRPr="00026E87">
        <w:rPr>
          <w:rFonts w:ascii="Arial" w:eastAsia="Times New Roman" w:hAnsi="Arial" w:cs="Arial"/>
          <w:i/>
          <w:iCs/>
          <w:color w:val="1B1B1B"/>
          <w:u w:val="single"/>
        </w:rPr>
        <w:t>Part B – Explanation of Suspected Misconduct:</w:t>
      </w:r>
      <w:r w:rsidRPr="00026E87">
        <w:rPr>
          <w:rFonts w:ascii="Arial" w:eastAsia="Times New Roman" w:hAnsi="Arial" w:cs="Arial"/>
          <w:color w:val="1B1B1B"/>
        </w:rPr>
        <w:t xml:space="preserve"> Complete and attach a narrative to the Form 8484. The narrative should be detailed enough to allow the OPR to give the practitioner fair notice of the suspected misconduct. It should list all significant events that illustrate the inappropriate conduct in chronological order, explain how the conduct impacts on the administration of the tax laws, and establish a pattern of misconduct. It should include appropriate quotations from the case history that would support the alleged misconduct. If applicable, hand-written material should be typed. The narrative should be specific and should </w:t>
      </w:r>
      <w:proofErr w:type="gramStart"/>
      <w:r w:rsidRPr="00026E87">
        <w:rPr>
          <w:rFonts w:ascii="Arial" w:eastAsia="Times New Roman" w:hAnsi="Arial" w:cs="Arial"/>
          <w:color w:val="1B1B1B"/>
        </w:rPr>
        <w:t>include:</w:t>
      </w:r>
      <w:proofErr w:type="gramEnd"/>
      <w:r w:rsidRPr="00026E87">
        <w:rPr>
          <w:rFonts w:ascii="Arial" w:eastAsia="Times New Roman" w:hAnsi="Arial" w:cs="Arial"/>
          <w:color w:val="1B1B1B"/>
        </w:rPr>
        <w:t xml:space="preserve"> who, what, when, where, and why.</w:t>
      </w:r>
    </w:p>
    <w:p w14:paraId="15C15560" w14:textId="77777777" w:rsidR="00026E87" w:rsidRPr="00026E87" w:rsidRDefault="00026E87" w:rsidP="00026E87">
      <w:pPr>
        <w:numPr>
          <w:ilvl w:val="0"/>
          <w:numId w:val="7"/>
        </w:numPr>
        <w:shd w:val="clear" w:color="auto" w:fill="FFFFFF"/>
        <w:spacing w:before="150" w:after="150" w:line="240" w:lineRule="auto"/>
        <w:ind w:left="1335" w:firstLine="0"/>
        <w:rPr>
          <w:rFonts w:ascii="Arial" w:eastAsia="Times New Roman" w:hAnsi="Arial" w:cs="Arial"/>
          <w:color w:val="1B1B1B"/>
        </w:rPr>
      </w:pPr>
      <w:r w:rsidRPr="00026E87">
        <w:rPr>
          <w:rFonts w:ascii="Arial" w:eastAsia="Times New Roman" w:hAnsi="Arial" w:cs="Arial"/>
          <w:i/>
          <w:iCs/>
          <w:color w:val="1B1B1B"/>
          <w:u w:val="single"/>
        </w:rPr>
        <w:t>Part C- Your Information: </w:t>
      </w:r>
      <w:r w:rsidRPr="00026E87">
        <w:rPr>
          <w:rFonts w:ascii="Arial" w:eastAsia="Times New Roman" w:hAnsi="Arial" w:cs="Arial"/>
          <w:color w:val="1B1B1B"/>
        </w:rPr>
        <w:t>Complete the form with your name, mailing address, and other applicable contact information. Also include the names of other persons who have knowledge of the suspected misconduct.</w:t>
      </w:r>
    </w:p>
    <w:p w14:paraId="34F500B8" w14:textId="77777777" w:rsidR="00026E87" w:rsidRPr="00026E87" w:rsidRDefault="00026E87" w:rsidP="00026E87">
      <w:pPr>
        <w:numPr>
          <w:ilvl w:val="0"/>
          <w:numId w:val="7"/>
        </w:numPr>
        <w:shd w:val="clear" w:color="auto" w:fill="FFFFFF"/>
        <w:spacing w:before="150" w:after="150" w:line="240" w:lineRule="auto"/>
        <w:ind w:left="1335" w:firstLine="0"/>
        <w:rPr>
          <w:rFonts w:ascii="Arial" w:eastAsia="Times New Roman" w:hAnsi="Arial" w:cs="Arial"/>
          <w:color w:val="1B1B1B"/>
        </w:rPr>
      </w:pPr>
      <w:r w:rsidRPr="00026E87">
        <w:rPr>
          <w:rFonts w:ascii="Arial" w:eastAsia="Times New Roman" w:hAnsi="Arial" w:cs="Arial"/>
          <w:i/>
          <w:iCs/>
          <w:color w:val="1B1B1B"/>
          <w:u w:val="single"/>
        </w:rPr>
        <w:t>Part D – Manager Approval:</w:t>
      </w:r>
      <w:r w:rsidRPr="00026E87">
        <w:rPr>
          <w:rFonts w:ascii="Arial" w:eastAsia="Times New Roman" w:hAnsi="Arial" w:cs="Arial"/>
          <w:color w:val="1B1B1B"/>
        </w:rPr>
        <w:t xml:space="preserve"> While OPR does not require any </w:t>
      </w:r>
      <w:proofErr w:type="gramStart"/>
      <w:r w:rsidRPr="00026E87">
        <w:rPr>
          <w:rFonts w:ascii="Arial" w:eastAsia="Times New Roman" w:hAnsi="Arial" w:cs="Arial"/>
          <w:color w:val="1B1B1B"/>
        </w:rPr>
        <w:t>particular level</w:t>
      </w:r>
      <w:proofErr w:type="gramEnd"/>
      <w:r w:rsidRPr="00026E87">
        <w:rPr>
          <w:rFonts w:ascii="Arial" w:eastAsia="Times New Roman" w:hAnsi="Arial" w:cs="Arial"/>
          <w:color w:val="1B1B1B"/>
        </w:rPr>
        <w:t xml:space="preserve"> of management approval, field group managers or offer examiner unit managers (COIC) should review and approve referrals made by OIC employees before the documents are sent to OPR.</w:t>
      </w:r>
    </w:p>
    <w:p w14:paraId="36295934" w14:textId="77777777" w:rsidR="00026E87" w:rsidRPr="00026E87" w:rsidRDefault="00026E87" w:rsidP="00026E87">
      <w:pPr>
        <w:numPr>
          <w:ilvl w:val="0"/>
          <w:numId w:val="7"/>
        </w:numPr>
        <w:shd w:val="clear" w:color="auto" w:fill="FFFFFF"/>
        <w:spacing w:before="150" w:after="150" w:line="240" w:lineRule="auto"/>
        <w:ind w:left="1335" w:firstLine="0"/>
        <w:rPr>
          <w:rFonts w:ascii="Arial" w:eastAsia="Times New Roman" w:hAnsi="Arial" w:cs="Arial"/>
          <w:color w:val="1B1B1B"/>
        </w:rPr>
      </w:pPr>
      <w:r w:rsidRPr="00026E87">
        <w:rPr>
          <w:rFonts w:ascii="Arial" w:eastAsia="Times New Roman" w:hAnsi="Arial" w:cs="Arial"/>
          <w:color w:val="1B1B1B"/>
        </w:rPr>
        <w:t>Upon receipt of Form 8484, OPR will provide you with written acknowledgement of the submission.</w:t>
      </w:r>
    </w:p>
    <w:p w14:paraId="6B4FE8DE" w14:textId="77777777" w:rsidR="00026E87" w:rsidRPr="00026E87" w:rsidRDefault="00026E87" w:rsidP="00026E87">
      <w:pPr>
        <w:shd w:val="clear" w:color="auto" w:fill="FFFFFF"/>
        <w:spacing w:after="0" w:line="240" w:lineRule="auto"/>
        <w:rPr>
          <w:rFonts w:ascii="Arial" w:eastAsia="Times New Roman" w:hAnsi="Arial" w:cs="Arial"/>
          <w:color w:val="1B1B1B"/>
        </w:rPr>
      </w:pPr>
      <w:r w:rsidRPr="00026E87">
        <w:rPr>
          <w:rFonts w:ascii="Arial" w:eastAsia="Times New Roman" w:hAnsi="Arial" w:cs="Arial"/>
          <w:b/>
          <w:bCs/>
          <w:color w:val="1B1B1B"/>
        </w:rPr>
        <w:t>5.8.10.10 (07-20-2020)</w:t>
      </w:r>
    </w:p>
    <w:p w14:paraId="73A589B3" w14:textId="77777777" w:rsidR="00026E87" w:rsidRPr="00026E87" w:rsidRDefault="00026E87" w:rsidP="00026E87">
      <w:pPr>
        <w:shd w:val="clear" w:color="auto" w:fill="FFFFFF"/>
        <w:spacing w:before="75" w:after="225" w:line="240" w:lineRule="auto"/>
        <w:outlineLvl w:val="2"/>
        <w:rPr>
          <w:rFonts w:ascii="inherit" w:eastAsia="Times New Roman" w:hAnsi="inherit" w:cs="Arial"/>
          <w:b/>
          <w:bCs/>
          <w:color w:val="1B1B1B"/>
          <w:sz w:val="27"/>
          <w:szCs w:val="27"/>
        </w:rPr>
      </w:pPr>
      <w:bookmarkStart w:id="8" w:name="idm140489654726112"/>
      <w:bookmarkEnd w:id="8"/>
      <w:r w:rsidRPr="00026E87">
        <w:rPr>
          <w:rFonts w:ascii="inherit" w:eastAsia="Times New Roman" w:hAnsi="inherit" w:cs="Arial"/>
          <w:b/>
          <w:bCs/>
          <w:color w:val="1B1B1B"/>
          <w:sz w:val="27"/>
          <w:szCs w:val="27"/>
        </w:rPr>
        <w:t>Indicators of Taxpayer Fraud</w:t>
      </w:r>
    </w:p>
    <w:p w14:paraId="30A09E60" w14:textId="77777777" w:rsidR="00026E87" w:rsidRPr="00026E87" w:rsidRDefault="00026E87" w:rsidP="00026E87">
      <w:pPr>
        <w:numPr>
          <w:ilvl w:val="0"/>
          <w:numId w:val="8"/>
        </w:numPr>
        <w:shd w:val="clear" w:color="auto" w:fill="FFFFFF"/>
        <w:spacing w:before="150" w:after="150" w:line="240" w:lineRule="auto"/>
        <w:ind w:left="1335" w:firstLine="0"/>
        <w:rPr>
          <w:rFonts w:ascii="Arial" w:eastAsia="Times New Roman" w:hAnsi="Arial" w:cs="Arial"/>
          <w:color w:val="1B1B1B"/>
        </w:rPr>
      </w:pPr>
      <w:r w:rsidRPr="00026E87">
        <w:rPr>
          <w:rFonts w:ascii="Arial" w:eastAsia="Times New Roman" w:hAnsi="Arial" w:cs="Arial"/>
          <w:color w:val="1B1B1B"/>
        </w:rPr>
        <w:t>The following are potential fraud warning signs most identifiable during an interview:</w:t>
      </w:r>
    </w:p>
    <w:p w14:paraId="1CE89694" w14:textId="77777777" w:rsidR="00026E87" w:rsidRPr="00026E87" w:rsidRDefault="00026E87" w:rsidP="00026E87">
      <w:pPr>
        <w:numPr>
          <w:ilvl w:val="1"/>
          <w:numId w:val="9"/>
        </w:numPr>
        <w:shd w:val="clear" w:color="auto" w:fill="FFFFFF"/>
        <w:spacing w:before="150" w:after="150" w:line="240" w:lineRule="auto"/>
        <w:ind w:left="2295"/>
        <w:rPr>
          <w:rFonts w:ascii="Arial" w:eastAsia="Times New Roman" w:hAnsi="Arial" w:cs="Arial"/>
          <w:color w:val="1B1B1B"/>
        </w:rPr>
      </w:pPr>
      <w:r w:rsidRPr="00026E87">
        <w:rPr>
          <w:rFonts w:ascii="Arial" w:eastAsia="Times New Roman" w:hAnsi="Arial" w:cs="Arial"/>
          <w:color w:val="1B1B1B"/>
        </w:rPr>
        <w:t>Failing to keep proper books and records in a business or profession.</w:t>
      </w:r>
    </w:p>
    <w:p w14:paraId="21E56D1B" w14:textId="77777777" w:rsidR="00026E87" w:rsidRPr="00026E87" w:rsidRDefault="00026E87" w:rsidP="00026E87">
      <w:pPr>
        <w:numPr>
          <w:ilvl w:val="1"/>
          <w:numId w:val="9"/>
        </w:numPr>
        <w:shd w:val="clear" w:color="auto" w:fill="FFFFFF"/>
        <w:spacing w:before="150" w:after="150" w:line="240" w:lineRule="auto"/>
        <w:ind w:left="2295"/>
        <w:rPr>
          <w:rFonts w:ascii="Arial" w:eastAsia="Times New Roman" w:hAnsi="Arial" w:cs="Arial"/>
          <w:color w:val="1B1B1B"/>
        </w:rPr>
      </w:pPr>
      <w:r w:rsidRPr="00026E87">
        <w:rPr>
          <w:rFonts w:ascii="Arial" w:eastAsia="Times New Roman" w:hAnsi="Arial" w:cs="Arial"/>
          <w:color w:val="1B1B1B"/>
        </w:rPr>
        <w:t>Having no records, poorly kept records, or false or altered records.</w:t>
      </w:r>
    </w:p>
    <w:p w14:paraId="79976744" w14:textId="77777777" w:rsidR="00026E87" w:rsidRPr="00026E87" w:rsidRDefault="00026E87" w:rsidP="00026E87">
      <w:pPr>
        <w:numPr>
          <w:ilvl w:val="1"/>
          <w:numId w:val="9"/>
        </w:numPr>
        <w:shd w:val="clear" w:color="auto" w:fill="FFFFFF"/>
        <w:spacing w:before="150" w:after="150" w:line="240" w:lineRule="auto"/>
        <w:ind w:left="2295"/>
        <w:rPr>
          <w:rFonts w:ascii="Arial" w:eastAsia="Times New Roman" w:hAnsi="Arial" w:cs="Arial"/>
          <w:color w:val="1B1B1B"/>
        </w:rPr>
      </w:pPr>
      <w:r w:rsidRPr="00026E87">
        <w:rPr>
          <w:rFonts w:ascii="Arial" w:eastAsia="Times New Roman" w:hAnsi="Arial" w:cs="Arial"/>
          <w:color w:val="1B1B1B"/>
        </w:rPr>
        <w:t>Destroying books and records without plausible explanation or refusing to make certain records available.</w:t>
      </w:r>
    </w:p>
    <w:p w14:paraId="4061A054" w14:textId="77777777" w:rsidR="00026E87" w:rsidRPr="00026E87" w:rsidRDefault="00026E87" w:rsidP="00026E87">
      <w:pPr>
        <w:numPr>
          <w:ilvl w:val="1"/>
          <w:numId w:val="9"/>
        </w:numPr>
        <w:shd w:val="clear" w:color="auto" w:fill="FFFFFF"/>
        <w:spacing w:before="150" w:after="150" w:line="240" w:lineRule="auto"/>
        <w:ind w:left="2295"/>
        <w:rPr>
          <w:rFonts w:ascii="Arial" w:eastAsia="Times New Roman" w:hAnsi="Arial" w:cs="Arial"/>
          <w:color w:val="1B1B1B"/>
        </w:rPr>
      </w:pPr>
      <w:r w:rsidRPr="00026E87">
        <w:rPr>
          <w:rFonts w:ascii="Arial" w:eastAsia="Times New Roman" w:hAnsi="Arial" w:cs="Arial"/>
          <w:color w:val="1B1B1B"/>
        </w:rPr>
        <w:t>Appearing unwilling to delegate record keeping to employees.</w:t>
      </w:r>
    </w:p>
    <w:p w14:paraId="7C507D78" w14:textId="77777777" w:rsidR="00026E87" w:rsidRPr="00026E87" w:rsidRDefault="00026E87" w:rsidP="00026E87">
      <w:pPr>
        <w:numPr>
          <w:ilvl w:val="1"/>
          <w:numId w:val="9"/>
        </w:numPr>
        <w:shd w:val="clear" w:color="auto" w:fill="FFFFFF"/>
        <w:spacing w:before="150" w:after="150" w:line="240" w:lineRule="auto"/>
        <w:ind w:left="2295"/>
        <w:rPr>
          <w:rFonts w:ascii="Arial" w:eastAsia="Times New Roman" w:hAnsi="Arial" w:cs="Arial"/>
          <w:color w:val="1B1B1B"/>
        </w:rPr>
      </w:pPr>
      <w:r w:rsidRPr="00026E87">
        <w:rPr>
          <w:rFonts w:ascii="Arial" w:eastAsia="Times New Roman" w:hAnsi="Arial" w:cs="Arial"/>
          <w:color w:val="1B1B1B"/>
        </w:rPr>
        <w:t>Engaging in illegal activities.</w:t>
      </w:r>
    </w:p>
    <w:p w14:paraId="36EA6552" w14:textId="77777777" w:rsidR="00026E87" w:rsidRPr="00026E87" w:rsidRDefault="00026E87" w:rsidP="00026E87">
      <w:pPr>
        <w:numPr>
          <w:ilvl w:val="1"/>
          <w:numId w:val="9"/>
        </w:numPr>
        <w:shd w:val="clear" w:color="auto" w:fill="FFFFFF"/>
        <w:spacing w:before="150" w:after="150" w:line="240" w:lineRule="auto"/>
        <w:ind w:left="2295"/>
        <w:rPr>
          <w:rFonts w:ascii="Arial" w:eastAsia="Times New Roman" w:hAnsi="Arial" w:cs="Arial"/>
          <w:color w:val="1B1B1B"/>
        </w:rPr>
      </w:pPr>
      <w:r w:rsidRPr="00026E87">
        <w:rPr>
          <w:rFonts w:ascii="Arial" w:eastAsia="Times New Roman" w:hAnsi="Arial" w:cs="Arial"/>
          <w:color w:val="1B1B1B"/>
        </w:rPr>
        <w:lastRenderedPageBreak/>
        <w:t>Having a personal living standard that is inconsistent with reported income.</w:t>
      </w:r>
    </w:p>
    <w:p w14:paraId="593DD706" w14:textId="77777777" w:rsidR="00026E87" w:rsidRPr="00026E87" w:rsidRDefault="00026E87" w:rsidP="00026E87">
      <w:pPr>
        <w:numPr>
          <w:ilvl w:val="1"/>
          <w:numId w:val="9"/>
        </w:numPr>
        <w:shd w:val="clear" w:color="auto" w:fill="FFFFFF"/>
        <w:spacing w:before="150" w:after="150" w:line="240" w:lineRule="auto"/>
        <w:ind w:left="2295"/>
        <w:rPr>
          <w:rFonts w:ascii="Arial" w:eastAsia="Times New Roman" w:hAnsi="Arial" w:cs="Arial"/>
          <w:color w:val="1B1B1B"/>
        </w:rPr>
      </w:pPr>
      <w:r w:rsidRPr="00026E87">
        <w:rPr>
          <w:rFonts w:ascii="Arial" w:eastAsia="Times New Roman" w:hAnsi="Arial" w:cs="Arial"/>
          <w:color w:val="1B1B1B"/>
        </w:rPr>
        <w:t>Purchasing assets and placing them in the names of others.</w:t>
      </w:r>
    </w:p>
    <w:p w14:paraId="346EF206" w14:textId="77777777" w:rsidR="00026E87" w:rsidRPr="00026E87" w:rsidRDefault="00026E87" w:rsidP="00026E87">
      <w:pPr>
        <w:numPr>
          <w:ilvl w:val="1"/>
          <w:numId w:val="9"/>
        </w:numPr>
        <w:shd w:val="clear" w:color="auto" w:fill="FFFFFF"/>
        <w:spacing w:before="150" w:after="150" w:line="240" w:lineRule="auto"/>
        <w:ind w:left="2295"/>
        <w:rPr>
          <w:rFonts w:ascii="Arial" w:eastAsia="Times New Roman" w:hAnsi="Arial" w:cs="Arial"/>
          <w:color w:val="1B1B1B"/>
        </w:rPr>
      </w:pPr>
      <w:r w:rsidRPr="00026E87">
        <w:rPr>
          <w:rFonts w:ascii="Arial" w:eastAsia="Times New Roman" w:hAnsi="Arial" w:cs="Arial"/>
          <w:color w:val="1B1B1B"/>
        </w:rPr>
        <w:t>Making self-serving statements with no documented proof.</w:t>
      </w:r>
    </w:p>
    <w:p w14:paraId="1F4798CA" w14:textId="77777777" w:rsidR="00026E87" w:rsidRPr="00026E87" w:rsidRDefault="00026E87" w:rsidP="00026E87">
      <w:pPr>
        <w:numPr>
          <w:ilvl w:val="1"/>
          <w:numId w:val="9"/>
        </w:numPr>
        <w:shd w:val="clear" w:color="auto" w:fill="FFFFFF"/>
        <w:spacing w:before="150" w:after="150" w:line="240" w:lineRule="auto"/>
        <w:ind w:left="2295"/>
        <w:rPr>
          <w:rFonts w:ascii="Arial" w:eastAsia="Times New Roman" w:hAnsi="Arial" w:cs="Arial"/>
          <w:color w:val="1B1B1B"/>
        </w:rPr>
      </w:pPr>
      <w:r w:rsidRPr="00026E87">
        <w:rPr>
          <w:rFonts w:ascii="Arial" w:eastAsia="Times New Roman" w:hAnsi="Arial" w:cs="Arial"/>
          <w:color w:val="1B1B1B"/>
        </w:rPr>
        <w:t>Repeatedly procrastinating in making and keeping IRS appointments.</w:t>
      </w:r>
    </w:p>
    <w:p w14:paraId="18BD313C" w14:textId="77777777" w:rsidR="00026E87" w:rsidRPr="00026E87" w:rsidRDefault="00026E87" w:rsidP="00026E87">
      <w:pPr>
        <w:numPr>
          <w:ilvl w:val="1"/>
          <w:numId w:val="9"/>
        </w:numPr>
        <w:shd w:val="clear" w:color="auto" w:fill="FFFFFF"/>
        <w:spacing w:before="150" w:after="150" w:line="240" w:lineRule="auto"/>
        <w:ind w:left="2295"/>
        <w:rPr>
          <w:rFonts w:ascii="Arial" w:eastAsia="Times New Roman" w:hAnsi="Arial" w:cs="Arial"/>
          <w:color w:val="1B1B1B"/>
        </w:rPr>
      </w:pPr>
      <w:r w:rsidRPr="00026E87">
        <w:rPr>
          <w:rFonts w:ascii="Arial" w:eastAsia="Times New Roman" w:hAnsi="Arial" w:cs="Arial"/>
          <w:color w:val="1B1B1B"/>
        </w:rPr>
        <w:t>Showing undue concern about immediate closing of the case.</w:t>
      </w:r>
    </w:p>
    <w:p w14:paraId="2D1698F3" w14:textId="77777777" w:rsidR="00026E87" w:rsidRPr="00026E87" w:rsidRDefault="00026E87" w:rsidP="00026E87">
      <w:pPr>
        <w:numPr>
          <w:ilvl w:val="0"/>
          <w:numId w:val="9"/>
        </w:numPr>
        <w:shd w:val="clear" w:color="auto" w:fill="FFFFFF"/>
        <w:spacing w:before="150" w:after="150" w:line="240" w:lineRule="auto"/>
        <w:ind w:left="1335" w:firstLine="0"/>
        <w:rPr>
          <w:rFonts w:ascii="Arial" w:eastAsia="Times New Roman" w:hAnsi="Arial" w:cs="Arial"/>
          <w:color w:val="1B1B1B"/>
        </w:rPr>
      </w:pPr>
      <w:r w:rsidRPr="00026E87">
        <w:rPr>
          <w:rFonts w:ascii="Arial" w:eastAsia="Times New Roman" w:hAnsi="Arial" w:cs="Arial"/>
          <w:color w:val="1B1B1B"/>
        </w:rPr>
        <w:t>The following are potential fraud warning signs most identifiable during verification of the financial statement:</w:t>
      </w:r>
    </w:p>
    <w:p w14:paraId="56F6670F" w14:textId="77777777" w:rsidR="00026E87" w:rsidRPr="00026E87" w:rsidRDefault="00026E87" w:rsidP="00026E87">
      <w:pPr>
        <w:numPr>
          <w:ilvl w:val="1"/>
          <w:numId w:val="10"/>
        </w:numPr>
        <w:shd w:val="clear" w:color="auto" w:fill="FFFFFF"/>
        <w:spacing w:before="150" w:after="150" w:line="240" w:lineRule="auto"/>
        <w:rPr>
          <w:rFonts w:ascii="Arial" w:eastAsia="Times New Roman" w:hAnsi="Arial" w:cs="Arial"/>
          <w:color w:val="1B1B1B"/>
        </w:rPr>
      </w:pPr>
      <w:r w:rsidRPr="00026E87">
        <w:rPr>
          <w:rFonts w:ascii="Arial" w:eastAsia="Times New Roman" w:hAnsi="Arial" w:cs="Arial"/>
          <w:color w:val="1B1B1B"/>
        </w:rPr>
        <w:t>Uncooperative attitude, displayed by:</w:t>
      </w:r>
      <w:r w:rsidRPr="00026E87">
        <w:rPr>
          <w:rFonts w:ascii="Arial" w:eastAsia="Times New Roman" w:hAnsi="Arial" w:cs="Arial"/>
          <w:color w:val="1B1B1B"/>
        </w:rPr>
        <w:br/>
        <w:t>•Not providing requested information</w:t>
      </w:r>
      <w:r w:rsidRPr="00026E87">
        <w:rPr>
          <w:rFonts w:ascii="Arial" w:eastAsia="Times New Roman" w:hAnsi="Arial" w:cs="Arial"/>
          <w:color w:val="1B1B1B"/>
        </w:rPr>
        <w:br/>
        <w:t>•Refusing to make certain records available</w:t>
      </w:r>
      <w:r w:rsidRPr="00026E87">
        <w:rPr>
          <w:rFonts w:ascii="Arial" w:eastAsia="Times New Roman" w:hAnsi="Arial" w:cs="Arial"/>
          <w:color w:val="1B1B1B"/>
        </w:rPr>
        <w:br/>
        <w:t>•Not furnishing adequate explanations for discrepancies or questionable items</w:t>
      </w:r>
    </w:p>
    <w:p w14:paraId="45DCA0E9" w14:textId="77777777" w:rsidR="00026E87" w:rsidRPr="00026E87" w:rsidRDefault="00026E87" w:rsidP="00026E87">
      <w:pPr>
        <w:numPr>
          <w:ilvl w:val="1"/>
          <w:numId w:val="10"/>
        </w:numPr>
        <w:shd w:val="clear" w:color="auto" w:fill="FFFFFF"/>
        <w:spacing w:before="150" w:after="150" w:line="240" w:lineRule="auto"/>
        <w:rPr>
          <w:rFonts w:ascii="Arial" w:eastAsia="Times New Roman" w:hAnsi="Arial" w:cs="Arial"/>
          <w:color w:val="1B1B1B"/>
        </w:rPr>
      </w:pPr>
      <w:r w:rsidRPr="00026E87">
        <w:rPr>
          <w:rFonts w:ascii="Arial" w:eastAsia="Times New Roman" w:hAnsi="Arial" w:cs="Arial"/>
          <w:color w:val="1B1B1B"/>
        </w:rPr>
        <w:t>Trying to conceal a pertinent fact or record</w:t>
      </w:r>
    </w:p>
    <w:p w14:paraId="3C15EB27" w14:textId="77777777" w:rsidR="00026E87" w:rsidRPr="00026E87" w:rsidRDefault="00026E87" w:rsidP="00026E87">
      <w:pPr>
        <w:numPr>
          <w:ilvl w:val="1"/>
          <w:numId w:val="10"/>
        </w:numPr>
        <w:shd w:val="clear" w:color="auto" w:fill="FFFFFF"/>
        <w:spacing w:before="150" w:after="150" w:line="240" w:lineRule="auto"/>
        <w:rPr>
          <w:rFonts w:ascii="Arial" w:eastAsia="Times New Roman" w:hAnsi="Arial" w:cs="Arial"/>
          <w:color w:val="1B1B1B"/>
        </w:rPr>
      </w:pPr>
      <w:r w:rsidRPr="00026E87">
        <w:rPr>
          <w:rFonts w:ascii="Arial" w:eastAsia="Times New Roman" w:hAnsi="Arial" w:cs="Arial"/>
          <w:color w:val="1B1B1B"/>
        </w:rPr>
        <w:t>Failing to deposit all receipts to the business account</w:t>
      </w:r>
    </w:p>
    <w:p w14:paraId="2FEB0F36" w14:textId="77777777" w:rsidR="00026E87" w:rsidRPr="00026E87" w:rsidRDefault="00026E87" w:rsidP="00026E87">
      <w:pPr>
        <w:numPr>
          <w:ilvl w:val="1"/>
          <w:numId w:val="10"/>
        </w:numPr>
        <w:shd w:val="clear" w:color="auto" w:fill="FFFFFF"/>
        <w:spacing w:before="150" w:after="150" w:line="240" w:lineRule="auto"/>
        <w:rPr>
          <w:rFonts w:ascii="Arial" w:eastAsia="Times New Roman" w:hAnsi="Arial" w:cs="Arial"/>
          <w:color w:val="1B1B1B"/>
        </w:rPr>
      </w:pPr>
      <w:r w:rsidRPr="00026E87">
        <w:rPr>
          <w:rFonts w:ascii="Arial" w:eastAsia="Times New Roman" w:hAnsi="Arial" w:cs="Arial"/>
          <w:color w:val="1B1B1B"/>
        </w:rPr>
        <w:t>Using nominees or false names</w:t>
      </w:r>
    </w:p>
    <w:p w14:paraId="67B34E80" w14:textId="77777777" w:rsidR="00026E87" w:rsidRPr="00026E87" w:rsidRDefault="00026E87" w:rsidP="00026E87">
      <w:pPr>
        <w:numPr>
          <w:ilvl w:val="1"/>
          <w:numId w:val="10"/>
        </w:numPr>
        <w:shd w:val="clear" w:color="auto" w:fill="FFFFFF"/>
        <w:spacing w:before="150" w:after="150" w:line="240" w:lineRule="auto"/>
        <w:rPr>
          <w:rFonts w:ascii="Arial" w:eastAsia="Times New Roman" w:hAnsi="Arial" w:cs="Arial"/>
          <w:color w:val="1B1B1B"/>
        </w:rPr>
      </w:pPr>
      <w:r w:rsidRPr="00026E87">
        <w:rPr>
          <w:rFonts w:ascii="Arial" w:eastAsia="Times New Roman" w:hAnsi="Arial" w:cs="Arial"/>
          <w:color w:val="1B1B1B"/>
        </w:rPr>
        <w:t>Depleting assets shortly before filing an offer</w:t>
      </w:r>
    </w:p>
    <w:p w14:paraId="64D77411" w14:textId="77777777" w:rsidR="00026E87" w:rsidRPr="00026E87" w:rsidRDefault="00026E87" w:rsidP="00026E87">
      <w:pPr>
        <w:numPr>
          <w:ilvl w:val="1"/>
          <w:numId w:val="10"/>
        </w:numPr>
        <w:shd w:val="clear" w:color="auto" w:fill="FFFFFF"/>
        <w:spacing w:before="150" w:after="150" w:line="240" w:lineRule="auto"/>
        <w:rPr>
          <w:rFonts w:ascii="Arial" w:eastAsia="Times New Roman" w:hAnsi="Arial" w:cs="Arial"/>
          <w:color w:val="1B1B1B"/>
        </w:rPr>
      </w:pPr>
      <w:r w:rsidRPr="00026E87">
        <w:rPr>
          <w:rFonts w:ascii="Arial" w:eastAsia="Times New Roman" w:hAnsi="Arial" w:cs="Arial"/>
          <w:color w:val="1B1B1B"/>
        </w:rPr>
        <w:t>Inflating salaries, payment of bonuses or cash withdrawals by officers, directors, shareholders, or other insiders</w:t>
      </w:r>
    </w:p>
    <w:p w14:paraId="388C9BC6" w14:textId="77777777" w:rsidR="00026E87" w:rsidRPr="00026E87" w:rsidRDefault="00026E87" w:rsidP="00026E87">
      <w:pPr>
        <w:numPr>
          <w:ilvl w:val="1"/>
          <w:numId w:val="10"/>
        </w:numPr>
        <w:shd w:val="clear" w:color="auto" w:fill="FFFFFF"/>
        <w:spacing w:before="150" w:after="150" w:line="240" w:lineRule="auto"/>
        <w:rPr>
          <w:rFonts w:ascii="Arial" w:eastAsia="Times New Roman" w:hAnsi="Arial" w:cs="Arial"/>
          <w:color w:val="1B1B1B"/>
        </w:rPr>
      </w:pPr>
      <w:r w:rsidRPr="00026E87">
        <w:rPr>
          <w:rFonts w:ascii="Arial" w:eastAsia="Times New Roman" w:hAnsi="Arial" w:cs="Arial"/>
          <w:color w:val="1B1B1B"/>
        </w:rPr>
        <w:t>Transferring property to insiders, shareholders, or relatives shortly before filing the offer</w:t>
      </w:r>
    </w:p>
    <w:p w14:paraId="0540CE7B" w14:textId="77777777" w:rsidR="00026E87" w:rsidRPr="00026E87" w:rsidRDefault="00026E87" w:rsidP="00026E87">
      <w:pPr>
        <w:numPr>
          <w:ilvl w:val="1"/>
          <w:numId w:val="10"/>
        </w:numPr>
        <w:shd w:val="clear" w:color="auto" w:fill="FFFFFF"/>
        <w:spacing w:before="150" w:after="150" w:line="240" w:lineRule="auto"/>
        <w:rPr>
          <w:rFonts w:ascii="Arial" w:eastAsia="Times New Roman" w:hAnsi="Arial" w:cs="Arial"/>
          <w:color w:val="1B1B1B"/>
        </w:rPr>
      </w:pPr>
      <w:r w:rsidRPr="00026E87">
        <w:rPr>
          <w:rFonts w:ascii="Arial" w:eastAsia="Times New Roman" w:hAnsi="Arial" w:cs="Arial"/>
          <w:color w:val="1B1B1B"/>
        </w:rPr>
        <w:t>Paying off loans to directors, officers, shareholders, relatives, or other insiders shortly before filing of the offer</w:t>
      </w:r>
    </w:p>
    <w:p w14:paraId="223DE61B" w14:textId="77777777" w:rsidR="00026E87" w:rsidRPr="00026E87" w:rsidRDefault="00026E87" w:rsidP="00026E87">
      <w:pPr>
        <w:numPr>
          <w:ilvl w:val="1"/>
          <w:numId w:val="10"/>
        </w:numPr>
        <w:shd w:val="clear" w:color="auto" w:fill="FFFFFF"/>
        <w:spacing w:before="150" w:after="150" w:line="240" w:lineRule="auto"/>
        <w:rPr>
          <w:rFonts w:ascii="Arial" w:eastAsia="Times New Roman" w:hAnsi="Arial" w:cs="Arial"/>
          <w:color w:val="1B1B1B"/>
        </w:rPr>
      </w:pPr>
      <w:r w:rsidRPr="00026E87">
        <w:rPr>
          <w:rFonts w:ascii="Arial" w:eastAsia="Times New Roman" w:hAnsi="Arial" w:cs="Arial"/>
          <w:color w:val="1B1B1B"/>
        </w:rPr>
        <w:t>Having complicated corporate structures and relationships</w:t>
      </w:r>
    </w:p>
    <w:p w14:paraId="3BB14DBC" w14:textId="77777777" w:rsidR="00026E87" w:rsidRPr="00026E87" w:rsidRDefault="00026E87" w:rsidP="00026E87">
      <w:pPr>
        <w:numPr>
          <w:ilvl w:val="1"/>
          <w:numId w:val="10"/>
        </w:numPr>
        <w:shd w:val="clear" w:color="auto" w:fill="FFFFFF"/>
        <w:spacing w:before="150" w:after="150" w:line="240" w:lineRule="auto"/>
        <w:rPr>
          <w:rFonts w:ascii="Arial" w:eastAsia="Times New Roman" w:hAnsi="Arial" w:cs="Arial"/>
          <w:color w:val="1B1B1B"/>
        </w:rPr>
      </w:pPr>
      <w:r w:rsidRPr="00026E87">
        <w:rPr>
          <w:rFonts w:ascii="Arial" w:eastAsia="Times New Roman" w:hAnsi="Arial" w:cs="Arial"/>
          <w:color w:val="1B1B1B"/>
        </w:rPr>
        <w:t>Undervaluing assets</w:t>
      </w:r>
    </w:p>
    <w:p w14:paraId="1BFFFA6B" w14:textId="77777777" w:rsidR="00026E87" w:rsidRPr="00026E87" w:rsidRDefault="00026E87" w:rsidP="00026E87">
      <w:pPr>
        <w:numPr>
          <w:ilvl w:val="1"/>
          <w:numId w:val="10"/>
        </w:numPr>
        <w:shd w:val="clear" w:color="auto" w:fill="FFFFFF"/>
        <w:spacing w:before="150" w:after="150" w:line="240" w:lineRule="auto"/>
        <w:rPr>
          <w:rFonts w:ascii="Arial" w:eastAsia="Times New Roman" w:hAnsi="Arial" w:cs="Arial"/>
          <w:color w:val="1B1B1B"/>
        </w:rPr>
      </w:pPr>
      <w:r w:rsidRPr="00026E87">
        <w:rPr>
          <w:rFonts w:ascii="Arial" w:eastAsia="Times New Roman" w:hAnsi="Arial" w:cs="Arial"/>
          <w:color w:val="1B1B1B"/>
        </w:rPr>
        <w:t>Overstating liabilities</w:t>
      </w:r>
    </w:p>
    <w:p w14:paraId="46369B89" w14:textId="77777777" w:rsidR="00026E87" w:rsidRPr="00026E87" w:rsidRDefault="00026E87" w:rsidP="00026E87">
      <w:pPr>
        <w:numPr>
          <w:ilvl w:val="0"/>
          <w:numId w:val="10"/>
        </w:numPr>
        <w:shd w:val="clear" w:color="auto" w:fill="FFFFFF"/>
        <w:spacing w:before="150" w:after="150" w:line="240" w:lineRule="auto"/>
        <w:ind w:left="1335" w:firstLine="0"/>
        <w:rPr>
          <w:rFonts w:ascii="Arial" w:eastAsia="Times New Roman" w:hAnsi="Arial" w:cs="Arial"/>
          <w:color w:val="1B1B1B"/>
        </w:rPr>
      </w:pPr>
      <w:r w:rsidRPr="00026E87">
        <w:rPr>
          <w:rFonts w:ascii="Arial" w:eastAsia="Times New Roman" w:hAnsi="Arial" w:cs="Arial"/>
          <w:color w:val="1B1B1B"/>
        </w:rPr>
        <w:t>The fraud indicators below can fall into any of the categories in paragraphs (1) and (2) above:</w:t>
      </w:r>
    </w:p>
    <w:p w14:paraId="37F9A73E" w14:textId="77777777" w:rsidR="00026E87" w:rsidRPr="00026E87" w:rsidRDefault="00026E87" w:rsidP="00026E87">
      <w:pPr>
        <w:numPr>
          <w:ilvl w:val="1"/>
          <w:numId w:val="11"/>
        </w:numPr>
        <w:shd w:val="clear" w:color="auto" w:fill="FFFFFF"/>
        <w:spacing w:before="150" w:after="150" w:line="240" w:lineRule="auto"/>
        <w:rPr>
          <w:rFonts w:ascii="Arial" w:eastAsia="Times New Roman" w:hAnsi="Arial" w:cs="Arial"/>
          <w:color w:val="1B1B1B"/>
        </w:rPr>
      </w:pPr>
      <w:r w:rsidRPr="00026E87">
        <w:rPr>
          <w:rFonts w:ascii="Arial" w:eastAsia="Times New Roman" w:hAnsi="Arial" w:cs="Arial"/>
          <w:color w:val="1B1B1B"/>
        </w:rPr>
        <w:t>Making false, misleading, and inconsistent statements</w:t>
      </w:r>
    </w:p>
    <w:p w14:paraId="7F91D282" w14:textId="77777777" w:rsidR="00026E87" w:rsidRPr="00026E87" w:rsidRDefault="00026E87" w:rsidP="00026E87">
      <w:pPr>
        <w:numPr>
          <w:ilvl w:val="1"/>
          <w:numId w:val="11"/>
        </w:numPr>
        <w:shd w:val="clear" w:color="auto" w:fill="FFFFFF"/>
        <w:spacing w:before="150" w:after="150" w:line="240" w:lineRule="auto"/>
        <w:rPr>
          <w:rFonts w:ascii="Arial" w:eastAsia="Times New Roman" w:hAnsi="Arial" w:cs="Arial"/>
          <w:color w:val="1B1B1B"/>
        </w:rPr>
      </w:pPr>
      <w:r w:rsidRPr="00026E87">
        <w:rPr>
          <w:rFonts w:ascii="Arial" w:eastAsia="Times New Roman" w:hAnsi="Arial" w:cs="Arial"/>
          <w:color w:val="1B1B1B"/>
        </w:rPr>
        <w:t>Using currency instead of bank accounts or making large expenditures in currency</w:t>
      </w:r>
    </w:p>
    <w:p w14:paraId="1845AF07" w14:textId="77777777" w:rsidR="00026E87" w:rsidRPr="00026E87" w:rsidRDefault="00026E87" w:rsidP="00026E87">
      <w:pPr>
        <w:numPr>
          <w:ilvl w:val="1"/>
          <w:numId w:val="11"/>
        </w:numPr>
        <w:shd w:val="clear" w:color="auto" w:fill="FFFFFF"/>
        <w:spacing w:before="150" w:after="150" w:line="240" w:lineRule="auto"/>
        <w:rPr>
          <w:rFonts w:ascii="Arial" w:eastAsia="Times New Roman" w:hAnsi="Arial" w:cs="Arial"/>
          <w:color w:val="1B1B1B"/>
        </w:rPr>
      </w:pPr>
      <w:r w:rsidRPr="00026E87">
        <w:rPr>
          <w:rFonts w:ascii="Arial" w:eastAsia="Times New Roman" w:hAnsi="Arial" w:cs="Arial"/>
          <w:color w:val="1B1B1B"/>
        </w:rPr>
        <w:t>Concealing bank accounts and other property</w:t>
      </w:r>
    </w:p>
    <w:p w14:paraId="4458654D" w14:textId="77777777" w:rsidR="00026E87" w:rsidRPr="00026E87" w:rsidRDefault="00026E87" w:rsidP="00026E87">
      <w:pPr>
        <w:numPr>
          <w:ilvl w:val="0"/>
          <w:numId w:val="11"/>
        </w:numPr>
        <w:shd w:val="clear" w:color="auto" w:fill="FFFFFF"/>
        <w:spacing w:before="150" w:after="150" w:line="240" w:lineRule="auto"/>
        <w:ind w:left="1335" w:firstLine="0"/>
        <w:rPr>
          <w:rFonts w:ascii="Arial" w:eastAsia="Times New Roman" w:hAnsi="Arial" w:cs="Arial"/>
          <w:color w:val="1B1B1B"/>
        </w:rPr>
      </w:pPr>
      <w:r w:rsidRPr="00026E87">
        <w:rPr>
          <w:rFonts w:ascii="Arial" w:eastAsia="Times New Roman" w:hAnsi="Arial" w:cs="Arial"/>
          <w:color w:val="1B1B1B"/>
        </w:rPr>
        <w:t>If indications of fraud are identified, follow the procedures outlined in IRM 5.8.4.18, Potential Fraud Referrals.</w:t>
      </w:r>
    </w:p>
    <w:p w14:paraId="0E3318F0" w14:textId="77777777" w:rsidR="00026E87" w:rsidRPr="00026E87" w:rsidRDefault="00026E87" w:rsidP="00026E87">
      <w:pPr>
        <w:numPr>
          <w:ilvl w:val="0"/>
          <w:numId w:val="11"/>
        </w:numPr>
        <w:shd w:val="clear" w:color="auto" w:fill="FFFFFF"/>
        <w:spacing w:before="150" w:after="150" w:line="240" w:lineRule="auto"/>
        <w:ind w:left="1335" w:firstLine="0"/>
        <w:rPr>
          <w:rFonts w:ascii="Arial" w:eastAsia="Times New Roman" w:hAnsi="Arial" w:cs="Arial"/>
          <w:color w:val="1B1B1B"/>
        </w:rPr>
      </w:pPr>
      <w:r w:rsidRPr="00026E87">
        <w:rPr>
          <w:rFonts w:ascii="Arial" w:eastAsia="Times New Roman" w:hAnsi="Arial" w:cs="Arial"/>
          <w:color w:val="1B1B1B"/>
        </w:rPr>
        <w:lastRenderedPageBreak/>
        <w:t>Refer to IRM 5.8.4.19.1, Open Criminal Investigations, for information concerning the appropriate actions if the taxpayer is involved in an open criminal investigation.</w:t>
      </w:r>
    </w:p>
    <w:p w14:paraId="59505A1F" w14:textId="77777777" w:rsidR="00026E87" w:rsidRPr="00026E87" w:rsidRDefault="00026E87" w:rsidP="00026E87">
      <w:pPr>
        <w:shd w:val="clear" w:color="auto" w:fill="FFFFFF"/>
        <w:spacing w:after="0" w:line="240" w:lineRule="auto"/>
        <w:rPr>
          <w:rFonts w:ascii="Arial" w:eastAsia="Times New Roman" w:hAnsi="Arial" w:cs="Arial"/>
          <w:color w:val="1B1B1B"/>
        </w:rPr>
      </w:pPr>
      <w:r w:rsidRPr="00026E87">
        <w:rPr>
          <w:rFonts w:ascii="Arial" w:eastAsia="Times New Roman" w:hAnsi="Arial" w:cs="Arial"/>
          <w:b/>
          <w:bCs/>
          <w:color w:val="1B1B1B"/>
        </w:rPr>
        <w:t>5.8.10.11 (02-14-2017)</w:t>
      </w:r>
    </w:p>
    <w:p w14:paraId="7A9E342B" w14:textId="77777777" w:rsidR="00026E87" w:rsidRPr="00026E87" w:rsidRDefault="00026E87" w:rsidP="00026E87">
      <w:pPr>
        <w:shd w:val="clear" w:color="auto" w:fill="FFFFFF"/>
        <w:spacing w:before="75" w:after="225" w:line="240" w:lineRule="auto"/>
        <w:outlineLvl w:val="2"/>
        <w:rPr>
          <w:rFonts w:ascii="inherit" w:eastAsia="Times New Roman" w:hAnsi="inherit" w:cs="Arial"/>
          <w:b/>
          <w:bCs/>
          <w:color w:val="1B1B1B"/>
          <w:sz w:val="27"/>
          <w:szCs w:val="27"/>
        </w:rPr>
      </w:pPr>
      <w:bookmarkStart w:id="9" w:name="idm140489654708800"/>
      <w:bookmarkEnd w:id="9"/>
      <w:r w:rsidRPr="00026E87">
        <w:rPr>
          <w:rFonts w:ascii="inherit" w:eastAsia="Times New Roman" w:hAnsi="inherit" w:cs="Arial"/>
          <w:b/>
          <w:bCs/>
          <w:color w:val="1B1B1B"/>
          <w:sz w:val="27"/>
          <w:szCs w:val="27"/>
        </w:rPr>
        <w:t>Potentially Dangerous or Caution Upon Contact Taxpayer</w:t>
      </w:r>
    </w:p>
    <w:p w14:paraId="22445ED1" w14:textId="77777777" w:rsidR="00026E87" w:rsidRPr="00026E87" w:rsidRDefault="00026E87" w:rsidP="00026E87">
      <w:pPr>
        <w:numPr>
          <w:ilvl w:val="0"/>
          <w:numId w:val="12"/>
        </w:numPr>
        <w:shd w:val="clear" w:color="auto" w:fill="FFFFFF"/>
        <w:spacing w:before="150" w:after="150" w:line="240" w:lineRule="auto"/>
        <w:ind w:left="1335" w:firstLine="0"/>
        <w:rPr>
          <w:rFonts w:ascii="Arial" w:eastAsia="Times New Roman" w:hAnsi="Arial" w:cs="Arial"/>
          <w:color w:val="1B1B1B"/>
        </w:rPr>
      </w:pPr>
      <w:r w:rsidRPr="00026E87">
        <w:rPr>
          <w:rFonts w:ascii="Arial" w:eastAsia="Times New Roman" w:hAnsi="Arial" w:cs="Arial"/>
          <w:color w:val="1B1B1B"/>
        </w:rPr>
        <w:t>A review of IDRS Command Code </w:t>
      </w:r>
      <w:r w:rsidRPr="00026E87">
        <w:rPr>
          <w:rFonts w:ascii="Arial" w:eastAsia="Times New Roman" w:hAnsi="Arial" w:cs="Arial"/>
          <w:b/>
          <w:bCs/>
          <w:color w:val="1B1B1B"/>
        </w:rPr>
        <w:t>ENMOD</w:t>
      </w:r>
      <w:r w:rsidRPr="00026E87">
        <w:rPr>
          <w:rFonts w:ascii="Arial" w:eastAsia="Times New Roman" w:hAnsi="Arial" w:cs="Arial"/>
          <w:color w:val="1B1B1B"/>
        </w:rPr>
        <w:t> may show that a POA or taxpayer has been designated as either a PDT or a CAU.</w:t>
      </w:r>
    </w:p>
    <w:p w14:paraId="33F641E2" w14:textId="77777777" w:rsidR="00026E87" w:rsidRPr="00026E87" w:rsidRDefault="00026E87" w:rsidP="00026E87">
      <w:pPr>
        <w:numPr>
          <w:ilvl w:val="0"/>
          <w:numId w:val="12"/>
        </w:numPr>
        <w:shd w:val="clear" w:color="auto" w:fill="FFFFFF"/>
        <w:spacing w:before="150" w:after="150" w:line="240" w:lineRule="auto"/>
        <w:ind w:left="1335" w:firstLine="0"/>
        <w:rPr>
          <w:rFonts w:ascii="Arial" w:eastAsia="Times New Roman" w:hAnsi="Arial" w:cs="Arial"/>
          <w:color w:val="1B1B1B"/>
        </w:rPr>
      </w:pPr>
      <w:r w:rsidRPr="00026E87">
        <w:rPr>
          <w:rFonts w:ascii="Arial" w:eastAsia="Times New Roman" w:hAnsi="Arial" w:cs="Arial"/>
          <w:color w:val="1B1B1B"/>
        </w:rPr>
        <w:t>A taxpayer or POA who meet these criteria should be approached with caution. See IRM 25.4.1, Potentially Dangerous Taxpayer, or IRM 25.4.2, Caution Upon Contact Taxpayer.</w:t>
      </w:r>
    </w:p>
    <w:p w14:paraId="50C489BC" w14:textId="77777777" w:rsidR="000B1F60" w:rsidRDefault="000B1F60"/>
    <w:sectPr w:rsidR="000B1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694"/>
    <w:multiLevelType w:val="multilevel"/>
    <w:tmpl w:val="BC408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202043"/>
    <w:multiLevelType w:val="multilevel"/>
    <w:tmpl w:val="C0561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CC58F3"/>
    <w:multiLevelType w:val="multilevel"/>
    <w:tmpl w:val="79180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8253C2"/>
    <w:multiLevelType w:val="multilevel"/>
    <w:tmpl w:val="13723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F15DF6"/>
    <w:multiLevelType w:val="multilevel"/>
    <w:tmpl w:val="E36E885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374F3E"/>
    <w:multiLevelType w:val="multilevel"/>
    <w:tmpl w:val="A926BA4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9732DD"/>
    <w:multiLevelType w:val="multilevel"/>
    <w:tmpl w:val="2EE4351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6"/>
    <w:lvlOverride w:ilvl="1">
      <w:lvl w:ilvl="1">
        <w:numFmt w:val="lowerLetter"/>
        <w:lvlText w:val="%2."/>
        <w:lvlJc w:val="left"/>
      </w:lvl>
    </w:lvlOverride>
  </w:num>
  <w:num w:numId="3">
    <w:abstractNumId w:val="1"/>
  </w:num>
  <w:num w:numId="4">
    <w:abstractNumId w:val="5"/>
  </w:num>
  <w:num w:numId="5">
    <w:abstractNumId w:val="5"/>
    <w:lvlOverride w:ilvl="1">
      <w:lvl w:ilvl="1">
        <w:numFmt w:val="lowerLetter"/>
        <w:lvlText w:val="%2."/>
        <w:lvlJc w:val="left"/>
      </w:lvl>
    </w:lvlOverride>
  </w:num>
  <w:num w:numId="6">
    <w:abstractNumId w:val="0"/>
  </w:num>
  <w:num w:numId="7">
    <w:abstractNumId w:val="3"/>
  </w:num>
  <w:num w:numId="8">
    <w:abstractNumId w:val="4"/>
  </w:num>
  <w:num w:numId="9">
    <w:abstractNumId w:val="4"/>
    <w:lvlOverride w:ilvl="1">
      <w:lvl w:ilvl="1">
        <w:numFmt w:val="lowerLetter"/>
        <w:lvlText w:val="%2."/>
        <w:lvlJc w:val="left"/>
      </w:lvl>
    </w:lvlOverride>
  </w:num>
  <w:num w:numId="10">
    <w:abstractNumId w:val="4"/>
    <w:lvlOverride w:ilvl="1">
      <w:lvl w:ilvl="1">
        <w:numFmt w:val="lowerLetter"/>
        <w:lvlText w:val="%2."/>
        <w:lvlJc w:val="left"/>
      </w:lvl>
    </w:lvlOverride>
  </w:num>
  <w:num w:numId="11">
    <w:abstractNumId w:val="4"/>
    <w:lvlOverride w:ilvl="1">
      <w:lvl w:ilvl="1">
        <w:numFmt w:val="lowerLetter"/>
        <w:lvlText w:val="%2."/>
        <w:lvlJc w:val="left"/>
      </w:lvl>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E87"/>
    <w:rsid w:val="00026E87"/>
    <w:rsid w:val="000B1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A1C0"/>
  <w15:chartTrackingRefBased/>
  <w15:docId w15:val="{C10A983D-24F0-434B-B247-EDAA3F08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26E87"/>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link w:val="Heading4Char"/>
    <w:uiPriority w:val="9"/>
    <w:qFormat/>
    <w:rsid w:val="00026E87"/>
    <w:pPr>
      <w:spacing w:before="100" w:beforeAutospacing="1" w:after="100" w:afterAutospacing="1" w:line="240" w:lineRule="auto"/>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6E87"/>
    <w:rPr>
      <w:rFonts w:eastAsia="Times New Roman"/>
      <w:b/>
      <w:bCs/>
      <w:sz w:val="27"/>
      <w:szCs w:val="27"/>
    </w:rPr>
  </w:style>
  <w:style w:type="character" w:customStyle="1" w:styleId="Heading4Char">
    <w:name w:val="Heading 4 Char"/>
    <w:basedOn w:val="DefaultParagraphFont"/>
    <w:link w:val="Heading4"/>
    <w:uiPriority w:val="9"/>
    <w:rsid w:val="00026E87"/>
    <w:rPr>
      <w:rFonts w:eastAsia="Times New Roman"/>
      <w:b/>
      <w:bCs/>
    </w:rPr>
  </w:style>
  <w:style w:type="character" w:styleId="Strong">
    <w:name w:val="Strong"/>
    <w:basedOn w:val="DefaultParagraphFont"/>
    <w:uiPriority w:val="22"/>
    <w:qFormat/>
    <w:rsid w:val="00026E87"/>
    <w:rPr>
      <w:b/>
      <w:bCs/>
    </w:rPr>
  </w:style>
  <w:style w:type="paragraph" w:customStyle="1" w:styleId="listitem">
    <w:name w:val="listitem"/>
    <w:basedOn w:val="Normal"/>
    <w:rsid w:val="00026E87"/>
    <w:pPr>
      <w:spacing w:before="100" w:beforeAutospacing="1" w:after="100" w:afterAutospacing="1" w:line="240" w:lineRule="auto"/>
    </w:pPr>
    <w:rPr>
      <w:rFonts w:eastAsia="Times New Roman"/>
    </w:rPr>
  </w:style>
  <w:style w:type="paragraph" w:styleId="NormalWeb">
    <w:name w:val="Normal (Web)"/>
    <w:basedOn w:val="Normal"/>
    <w:uiPriority w:val="99"/>
    <w:semiHidden/>
    <w:unhideWhenUsed/>
    <w:rsid w:val="00026E87"/>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026E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72320">
      <w:bodyDiv w:val="1"/>
      <w:marLeft w:val="0"/>
      <w:marRight w:val="0"/>
      <w:marTop w:val="0"/>
      <w:marBottom w:val="0"/>
      <w:divBdr>
        <w:top w:val="none" w:sz="0" w:space="0" w:color="auto"/>
        <w:left w:val="none" w:sz="0" w:space="0" w:color="auto"/>
        <w:bottom w:val="none" w:sz="0" w:space="0" w:color="auto"/>
        <w:right w:val="none" w:sz="0" w:space="0" w:color="auto"/>
      </w:divBdr>
      <w:divsChild>
        <w:div w:id="1104954998">
          <w:marLeft w:val="0"/>
          <w:marRight w:val="0"/>
          <w:marTop w:val="0"/>
          <w:marBottom w:val="0"/>
          <w:divBdr>
            <w:top w:val="none" w:sz="0" w:space="0" w:color="auto"/>
            <w:left w:val="none" w:sz="0" w:space="0" w:color="auto"/>
            <w:bottom w:val="none" w:sz="0" w:space="0" w:color="auto"/>
            <w:right w:val="none" w:sz="0" w:space="0" w:color="auto"/>
          </w:divBdr>
          <w:divsChild>
            <w:div w:id="1021736316">
              <w:marLeft w:val="0"/>
              <w:marRight w:val="0"/>
              <w:marTop w:val="300"/>
              <w:marBottom w:val="0"/>
              <w:divBdr>
                <w:top w:val="none" w:sz="0" w:space="0" w:color="auto"/>
                <w:left w:val="none" w:sz="0" w:space="0" w:color="auto"/>
                <w:bottom w:val="none" w:sz="0" w:space="0" w:color="auto"/>
                <w:right w:val="none" w:sz="0" w:space="0" w:color="auto"/>
              </w:divBdr>
            </w:div>
            <w:div w:id="501244813">
              <w:marLeft w:val="0"/>
              <w:marRight w:val="0"/>
              <w:marTop w:val="0"/>
              <w:marBottom w:val="0"/>
              <w:divBdr>
                <w:top w:val="none" w:sz="0" w:space="0" w:color="auto"/>
                <w:left w:val="none" w:sz="0" w:space="0" w:color="auto"/>
                <w:bottom w:val="none" w:sz="0" w:space="0" w:color="auto"/>
                <w:right w:val="none" w:sz="0" w:space="0" w:color="auto"/>
              </w:divBdr>
              <w:divsChild>
                <w:div w:id="1738671135">
                  <w:marLeft w:val="0"/>
                  <w:marRight w:val="0"/>
                  <w:marTop w:val="0"/>
                  <w:marBottom w:val="0"/>
                  <w:divBdr>
                    <w:top w:val="none" w:sz="0" w:space="0" w:color="auto"/>
                    <w:left w:val="none" w:sz="0" w:space="0" w:color="auto"/>
                    <w:bottom w:val="none" w:sz="0" w:space="0" w:color="auto"/>
                    <w:right w:val="none" w:sz="0" w:space="0" w:color="auto"/>
                  </w:divBdr>
                  <w:divsChild>
                    <w:div w:id="83107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56726">
              <w:marLeft w:val="0"/>
              <w:marRight w:val="0"/>
              <w:marTop w:val="75"/>
              <w:marBottom w:val="75"/>
              <w:divBdr>
                <w:top w:val="none" w:sz="0" w:space="0" w:color="auto"/>
                <w:left w:val="none" w:sz="0" w:space="0" w:color="auto"/>
                <w:bottom w:val="none" w:sz="0" w:space="0" w:color="auto"/>
                <w:right w:val="none" w:sz="0" w:space="0" w:color="auto"/>
              </w:divBdr>
              <w:divsChild>
                <w:div w:id="1978803981">
                  <w:marLeft w:val="0"/>
                  <w:marRight w:val="0"/>
                  <w:marTop w:val="75"/>
                  <w:marBottom w:val="75"/>
                  <w:divBdr>
                    <w:top w:val="none" w:sz="0" w:space="0" w:color="auto"/>
                    <w:left w:val="none" w:sz="0" w:space="0" w:color="auto"/>
                    <w:bottom w:val="none" w:sz="0" w:space="0" w:color="auto"/>
                    <w:right w:val="none" w:sz="0" w:space="0" w:color="auto"/>
                  </w:divBdr>
                </w:div>
                <w:div w:id="561261088">
                  <w:marLeft w:val="0"/>
                  <w:marRight w:val="0"/>
                  <w:marTop w:val="0"/>
                  <w:marBottom w:val="0"/>
                  <w:divBdr>
                    <w:top w:val="none" w:sz="0" w:space="0" w:color="auto"/>
                    <w:left w:val="none" w:sz="0" w:space="0" w:color="auto"/>
                    <w:bottom w:val="none" w:sz="0" w:space="0" w:color="auto"/>
                    <w:right w:val="none" w:sz="0" w:space="0" w:color="auto"/>
                  </w:divBdr>
                </w:div>
              </w:divsChild>
            </w:div>
            <w:div w:id="2119791715">
              <w:marLeft w:val="0"/>
              <w:marRight w:val="0"/>
              <w:marTop w:val="0"/>
              <w:marBottom w:val="0"/>
              <w:divBdr>
                <w:top w:val="none" w:sz="0" w:space="0" w:color="auto"/>
                <w:left w:val="none" w:sz="0" w:space="0" w:color="auto"/>
                <w:bottom w:val="none" w:sz="0" w:space="0" w:color="auto"/>
                <w:right w:val="none" w:sz="0" w:space="0" w:color="auto"/>
              </w:divBdr>
              <w:divsChild>
                <w:div w:id="74404221">
                  <w:marLeft w:val="0"/>
                  <w:marRight w:val="0"/>
                  <w:marTop w:val="300"/>
                  <w:marBottom w:val="0"/>
                  <w:divBdr>
                    <w:top w:val="none" w:sz="0" w:space="0" w:color="auto"/>
                    <w:left w:val="none" w:sz="0" w:space="0" w:color="auto"/>
                    <w:bottom w:val="none" w:sz="0" w:space="0" w:color="auto"/>
                    <w:right w:val="none" w:sz="0" w:space="0" w:color="auto"/>
                  </w:divBdr>
                </w:div>
                <w:div w:id="489489716">
                  <w:marLeft w:val="0"/>
                  <w:marRight w:val="0"/>
                  <w:marTop w:val="0"/>
                  <w:marBottom w:val="0"/>
                  <w:divBdr>
                    <w:top w:val="none" w:sz="0" w:space="0" w:color="auto"/>
                    <w:left w:val="none" w:sz="0" w:space="0" w:color="auto"/>
                    <w:bottom w:val="none" w:sz="0" w:space="0" w:color="auto"/>
                    <w:right w:val="none" w:sz="0" w:space="0" w:color="auto"/>
                  </w:divBdr>
                  <w:divsChild>
                    <w:div w:id="175578088">
                      <w:marLeft w:val="0"/>
                      <w:marRight w:val="0"/>
                      <w:marTop w:val="0"/>
                      <w:marBottom w:val="0"/>
                      <w:divBdr>
                        <w:top w:val="none" w:sz="0" w:space="0" w:color="auto"/>
                        <w:left w:val="none" w:sz="0" w:space="0" w:color="auto"/>
                        <w:bottom w:val="none" w:sz="0" w:space="0" w:color="auto"/>
                        <w:right w:val="none" w:sz="0" w:space="0" w:color="auto"/>
                      </w:divBdr>
                      <w:divsChild>
                        <w:div w:id="122749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332">
                  <w:marLeft w:val="0"/>
                  <w:marRight w:val="0"/>
                  <w:marTop w:val="75"/>
                  <w:marBottom w:val="75"/>
                  <w:divBdr>
                    <w:top w:val="none" w:sz="0" w:space="0" w:color="auto"/>
                    <w:left w:val="none" w:sz="0" w:space="0" w:color="auto"/>
                    <w:bottom w:val="none" w:sz="0" w:space="0" w:color="auto"/>
                    <w:right w:val="none" w:sz="0" w:space="0" w:color="auto"/>
                  </w:divBdr>
                </w:div>
              </w:divsChild>
            </w:div>
            <w:div w:id="865673174">
              <w:marLeft w:val="0"/>
              <w:marRight w:val="0"/>
              <w:marTop w:val="0"/>
              <w:marBottom w:val="0"/>
              <w:divBdr>
                <w:top w:val="none" w:sz="0" w:space="0" w:color="auto"/>
                <w:left w:val="none" w:sz="0" w:space="0" w:color="auto"/>
                <w:bottom w:val="none" w:sz="0" w:space="0" w:color="auto"/>
                <w:right w:val="none" w:sz="0" w:space="0" w:color="auto"/>
              </w:divBdr>
              <w:divsChild>
                <w:div w:id="310720776">
                  <w:marLeft w:val="0"/>
                  <w:marRight w:val="0"/>
                  <w:marTop w:val="300"/>
                  <w:marBottom w:val="0"/>
                  <w:divBdr>
                    <w:top w:val="none" w:sz="0" w:space="0" w:color="auto"/>
                    <w:left w:val="none" w:sz="0" w:space="0" w:color="auto"/>
                    <w:bottom w:val="none" w:sz="0" w:space="0" w:color="auto"/>
                    <w:right w:val="none" w:sz="0" w:space="0" w:color="auto"/>
                  </w:divBdr>
                </w:div>
                <w:div w:id="1449272834">
                  <w:marLeft w:val="0"/>
                  <w:marRight w:val="0"/>
                  <w:marTop w:val="0"/>
                  <w:marBottom w:val="0"/>
                  <w:divBdr>
                    <w:top w:val="none" w:sz="0" w:space="0" w:color="auto"/>
                    <w:left w:val="none" w:sz="0" w:space="0" w:color="auto"/>
                    <w:bottom w:val="none" w:sz="0" w:space="0" w:color="auto"/>
                    <w:right w:val="none" w:sz="0" w:space="0" w:color="auto"/>
                  </w:divBdr>
                  <w:divsChild>
                    <w:div w:id="585119330">
                      <w:marLeft w:val="0"/>
                      <w:marRight w:val="0"/>
                      <w:marTop w:val="0"/>
                      <w:marBottom w:val="0"/>
                      <w:divBdr>
                        <w:top w:val="none" w:sz="0" w:space="0" w:color="auto"/>
                        <w:left w:val="none" w:sz="0" w:space="0" w:color="auto"/>
                        <w:bottom w:val="none" w:sz="0" w:space="0" w:color="auto"/>
                        <w:right w:val="none" w:sz="0" w:space="0" w:color="auto"/>
                      </w:divBdr>
                      <w:divsChild>
                        <w:div w:id="20874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69068">
                  <w:marLeft w:val="0"/>
                  <w:marRight w:val="0"/>
                  <w:marTop w:val="75"/>
                  <w:marBottom w:val="75"/>
                  <w:divBdr>
                    <w:top w:val="none" w:sz="0" w:space="0" w:color="auto"/>
                    <w:left w:val="none" w:sz="0" w:space="0" w:color="auto"/>
                    <w:bottom w:val="none" w:sz="0" w:space="0" w:color="auto"/>
                    <w:right w:val="none" w:sz="0" w:space="0" w:color="auto"/>
                  </w:divBdr>
                  <w:divsChild>
                    <w:div w:id="1101031123">
                      <w:marLeft w:val="0"/>
                      <w:marRight w:val="0"/>
                      <w:marTop w:val="0"/>
                      <w:marBottom w:val="0"/>
                      <w:divBdr>
                        <w:top w:val="none" w:sz="0" w:space="0" w:color="auto"/>
                        <w:left w:val="none" w:sz="0" w:space="0" w:color="auto"/>
                        <w:bottom w:val="none" w:sz="0" w:space="0" w:color="auto"/>
                        <w:right w:val="none" w:sz="0" w:space="0" w:color="auto"/>
                      </w:divBdr>
                      <w:divsChild>
                        <w:div w:id="1530952000">
                          <w:blockQuote w:val="1"/>
                          <w:marLeft w:val="450"/>
                          <w:marRight w:val="0"/>
                          <w:marTop w:val="0"/>
                          <w:marBottom w:val="0"/>
                          <w:divBdr>
                            <w:top w:val="none" w:sz="0" w:space="0" w:color="auto"/>
                            <w:left w:val="none" w:sz="0" w:space="0" w:color="auto"/>
                            <w:bottom w:val="none" w:sz="0" w:space="0" w:color="auto"/>
                            <w:right w:val="none" w:sz="0" w:space="0" w:color="auto"/>
                          </w:divBdr>
                          <w:divsChild>
                            <w:div w:id="123618368">
                              <w:marLeft w:val="0"/>
                              <w:marRight w:val="0"/>
                              <w:marTop w:val="75"/>
                              <w:marBottom w:val="75"/>
                              <w:divBdr>
                                <w:top w:val="none" w:sz="0" w:space="0" w:color="auto"/>
                                <w:left w:val="none" w:sz="0" w:space="0" w:color="auto"/>
                                <w:bottom w:val="none" w:sz="0" w:space="0" w:color="auto"/>
                                <w:right w:val="none" w:sz="0" w:space="0" w:color="auto"/>
                              </w:divBdr>
                              <w:divsChild>
                                <w:div w:id="1324551747">
                                  <w:marLeft w:val="0"/>
                                  <w:marRight w:val="0"/>
                                  <w:marTop w:val="0"/>
                                  <w:marBottom w:val="0"/>
                                  <w:divBdr>
                                    <w:top w:val="none" w:sz="0" w:space="0" w:color="auto"/>
                                    <w:left w:val="none" w:sz="0" w:space="0" w:color="auto"/>
                                    <w:bottom w:val="none" w:sz="0" w:space="0" w:color="auto"/>
                                    <w:right w:val="none" w:sz="0" w:space="0" w:color="auto"/>
                                  </w:divBdr>
                                  <w:divsChild>
                                    <w:div w:id="654648188">
                                      <w:blockQuote w:val="1"/>
                                      <w:marLeft w:val="450"/>
                                      <w:marRight w:val="0"/>
                                      <w:marTop w:val="0"/>
                                      <w:marBottom w:val="0"/>
                                      <w:divBdr>
                                        <w:top w:val="none" w:sz="0" w:space="0" w:color="auto"/>
                                        <w:left w:val="none" w:sz="0" w:space="0" w:color="auto"/>
                                        <w:bottom w:val="none" w:sz="0" w:space="0" w:color="auto"/>
                                        <w:right w:val="none" w:sz="0" w:space="0" w:color="auto"/>
                                      </w:divBdr>
                                      <w:divsChild>
                                        <w:div w:id="13565358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786851629">
                                  <w:marLeft w:val="0"/>
                                  <w:marRight w:val="0"/>
                                  <w:marTop w:val="0"/>
                                  <w:marBottom w:val="0"/>
                                  <w:divBdr>
                                    <w:top w:val="none" w:sz="0" w:space="0" w:color="auto"/>
                                    <w:left w:val="none" w:sz="0" w:space="0" w:color="auto"/>
                                    <w:bottom w:val="none" w:sz="0" w:space="0" w:color="auto"/>
                                    <w:right w:val="none" w:sz="0" w:space="0" w:color="auto"/>
                                  </w:divBdr>
                                </w:div>
                                <w:div w:id="2074158975">
                                  <w:marLeft w:val="0"/>
                                  <w:marRight w:val="0"/>
                                  <w:marTop w:val="0"/>
                                  <w:marBottom w:val="0"/>
                                  <w:divBdr>
                                    <w:top w:val="none" w:sz="0" w:space="0" w:color="auto"/>
                                    <w:left w:val="none" w:sz="0" w:space="0" w:color="auto"/>
                                    <w:bottom w:val="none" w:sz="0" w:space="0" w:color="auto"/>
                                    <w:right w:val="none" w:sz="0" w:space="0" w:color="auto"/>
                                  </w:divBdr>
                                  <w:divsChild>
                                    <w:div w:id="566307152">
                                      <w:blockQuote w:val="1"/>
                                      <w:marLeft w:val="450"/>
                                      <w:marRight w:val="0"/>
                                      <w:marTop w:val="0"/>
                                      <w:marBottom w:val="0"/>
                                      <w:divBdr>
                                        <w:top w:val="none" w:sz="0" w:space="0" w:color="auto"/>
                                        <w:left w:val="none" w:sz="0" w:space="0" w:color="auto"/>
                                        <w:bottom w:val="none" w:sz="0" w:space="0" w:color="auto"/>
                                        <w:right w:val="none" w:sz="0" w:space="0" w:color="auto"/>
                                      </w:divBdr>
                                      <w:divsChild>
                                        <w:div w:id="112854519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310791218">
                                  <w:marLeft w:val="0"/>
                                  <w:marRight w:val="0"/>
                                  <w:marTop w:val="0"/>
                                  <w:marBottom w:val="0"/>
                                  <w:divBdr>
                                    <w:top w:val="none" w:sz="0" w:space="0" w:color="auto"/>
                                    <w:left w:val="none" w:sz="0" w:space="0" w:color="auto"/>
                                    <w:bottom w:val="none" w:sz="0" w:space="0" w:color="auto"/>
                                    <w:right w:val="none" w:sz="0" w:space="0" w:color="auto"/>
                                  </w:divBdr>
                                </w:div>
                                <w:div w:id="413556386">
                                  <w:marLeft w:val="0"/>
                                  <w:marRight w:val="0"/>
                                  <w:marTop w:val="0"/>
                                  <w:marBottom w:val="0"/>
                                  <w:divBdr>
                                    <w:top w:val="none" w:sz="0" w:space="0" w:color="auto"/>
                                    <w:left w:val="none" w:sz="0" w:space="0" w:color="auto"/>
                                    <w:bottom w:val="none" w:sz="0" w:space="0" w:color="auto"/>
                                    <w:right w:val="none" w:sz="0" w:space="0" w:color="auto"/>
                                  </w:divBdr>
                                  <w:divsChild>
                                    <w:div w:id="1000618542">
                                      <w:blockQuote w:val="1"/>
                                      <w:marLeft w:val="450"/>
                                      <w:marRight w:val="0"/>
                                      <w:marTop w:val="0"/>
                                      <w:marBottom w:val="0"/>
                                      <w:divBdr>
                                        <w:top w:val="none" w:sz="0" w:space="0" w:color="auto"/>
                                        <w:left w:val="none" w:sz="0" w:space="0" w:color="auto"/>
                                        <w:bottom w:val="none" w:sz="0" w:space="0" w:color="auto"/>
                                        <w:right w:val="none" w:sz="0" w:space="0" w:color="auto"/>
                                      </w:divBdr>
                                      <w:divsChild>
                                        <w:div w:id="202292431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222736">
              <w:marLeft w:val="0"/>
              <w:marRight w:val="0"/>
              <w:marTop w:val="0"/>
              <w:marBottom w:val="0"/>
              <w:divBdr>
                <w:top w:val="none" w:sz="0" w:space="0" w:color="auto"/>
                <w:left w:val="none" w:sz="0" w:space="0" w:color="auto"/>
                <w:bottom w:val="none" w:sz="0" w:space="0" w:color="auto"/>
                <w:right w:val="none" w:sz="0" w:space="0" w:color="auto"/>
              </w:divBdr>
              <w:divsChild>
                <w:div w:id="1698503853">
                  <w:marLeft w:val="0"/>
                  <w:marRight w:val="0"/>
                  <w:marTop w:val="300"/>
                  <w:marBottom w:val="0"/>
                  <w:divBdr>
                    <w:top w:val="none" w:sz="0" w:space="0" w:color="auto"/>
                    <w:left w:val="none" w:sz="0" w:space="0" w:color="auto"/>
                    <w:bottom w:val="none" w:sz="0" w:space="0" w:color="auto"/>
                    <w:right w:val="none" w:sz="0" w:space="0" w:color="auto"/>
                  </w:divBdr>
                </w:div>
                <w:div w:id="1157722280">
                  <w:marLeft w:val="0"/>
                  <w:marRight w:val="0"/>
                  <w:marTop w:val="0"/>
                  <w:marBottom w:val="0"/>
                  <w:divBdr>
                    <w:top w:val="none" w:sz="0" w:space="0" w:color="auto"/>
                    <w:left w:val="none" w:sz="0" w:space="0" w:color="auto"/>
                    <w:bottom w:val="none" w:sz="0" w:space="0" w:color="auto"/>
                    <w:right w:val="none" w:sz="0" w:space="0" w:color="auto"/>
                  </w:divBdr>
                  <w:divsChild>
                    <w:div w:id="1766801050">
                      <w:marLeft w:val="0"/>
                      <w:marRight w:val="0"/>
                      <w:marTop w:val="0"/>
                      <w:marBottom w:val="0"/>
                      <w:divBdr>
                        <w:top w:val="none" w:sz="0" w:space="0" w:color="auto"/>
                        <w:left w:val="none" w:sz="0" w:space="0" w:color="auto"/>
                        <w:bottom w:val="none" w:sz="0" w:space="0" w:color="auto"/>
                        <w:right w:val="none" w:sz="0" w:space="0" w:color="auto"/>
                      </w:divBdr>
                      <w:divsChild>
                        <w:div w:id="4695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71772">
                  <w:marLeft w:val="0"/>
                  <w:marRight w:val="0"/>
                  <w:marTop w:val="75"/>
                  <w:marBottom w:val="75"/>
                  <w:divBdr>
                    <w:top w:val="none" w:sz="0" w:space="0" w:color="auto"/>
                    <w:left w:val="none" w:sz="0" w:space="0" w:color="auto"/>
                    <w:bottom w:val="none" w:sz="0" w:space="0" w:color="auto"/>
                    <w:right w:val="none" w:sz="0" w:space="0" w:color="auto"/>
                  </w:divBdr>
                  <w:divsChild>
                    <w:div w:id="1322268086">
                      <w:marLeft w:val="0"/>
                      <w:marRight w:val="0"/>
                      <w:marTop w:val="0"/>
                      <w:marBottom w:val="0"/>
                      <w:divBdr>
                        <w:top w:val="none" w:sz="0" w:space="0" w:color="auto"/>
                        <w:left w:val="none" w:sz="0" w:space="0" w:color="auto"/>
                        <w:bottom w:val="none" w:sz="0" w:space="0" w:color="auto"/>
                        <w:right w:val="none" w:sz="0" w:space="0" w:color="auto"/>
                      </w:divBdr>
                      <w:divsChild>
                        <w:div w:id="384524827">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488464">
              <w:marLeft w:val="0"/>
              <w:marRight w:val="0"/>
              <w:marTop w:val="0"/>
              <w:marBottom w:val="0"/>
              <w:divBdr>
                <w:top w:val="none" w:sz="0" w:space="0" w:color="auto"/>
                <w:left w:val="none" w:sz="0" w:space="0" w:color="auto"/>
                <w:bottom w:val="none" w:sz="0" w:space="0" w:color="auto"/>
                <w:right w:val="none" w:sz="0" w:space="0" w:color="auto"/>
              </w:divBdr>
              <w:divsChild>
                <w:div w:id="1349521209">
                  <w:marLeft w:val="0"/>
                  <w:marRight w:val="0"/>
                  <w:marTop w:val="300"/>
                  <w:marBottom w:val="0"/>
                  <w:divBdr>
                    <w:top w:val="none" w:sz="0" w:space="0" w:color="auto"/>
                    <w:left w:val="none" w:sz="0" w:space="0" w:color="auto"/>
                    <w:bottom w:val="none" w:sz="0" w:space="0" w:color="auto"/>
                    <w:right w:val="none" w:sz="0" w:space="0" w:color="auto"/>
                  </w:divBdr>
                </w:div>
                <w:div w:id="1037850995">
                  <w:marLeft w:val="0"/>
                  <w:marRight w:val="0"/>
                  <w:marTop w:val="0"/>
                  <w:marBottom w:val="0"/>
                  <w:divBdr>
                    <w:top w:val="none" w:sz="0" w:space="0" w:color="auto"/>
                    <w:left w:val="none" w:sz="0" w:space="0" w:color="auto"/>
                    <w:bottom w:val="none" w:sz="0" w:space="0" w:color="auto"/>
                    <w:right w:val="none" w:sz="0" w:space="0" w:color="auto"/>
                  </w:divBdr>
                  <w:divsChild>
                    <w:div w:id="944118857">
                      <w:marLeft w:val="0"/>
                      <w:marRight w:val="0"/>
                      <w:marTop w:val="0"/>
                      <w:marBottom w:val="0"/>
                      <w:divBdr>
                        <w:top w:val="none" w:sz="0" w:space="0" w:color="auto"/>
                        <w:left w:val="none" w:sz="0" w:space="0" w:color="auto"/>
                        <w:bottom w:val="none" w:sz="0" w:space="0" w:color="auto"/>
                        <w:right w:val="none" w:sz="0" w:space="0" w:color="auto"/>
                      </w:divBdr>
                      <w:divsChild>
                        <w:div w:id="41694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4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332369965">
          <w:marLeft w:val="0"/>
          <w:marRight w:val="0"/>
          <w:marTop w:val="0"/>
          <w:marBottom w:val="0"/>
          <w:divBdr>
            <w:top w:val="none" w:sz="0" w:space="0" w:color="auto"/>
            <w:left w:val="none" w:sz="0" w:space="0" w:color="auto"/>
            <w:bottom w:val="none" w:sz="0" w:space="0" w:color="auto"/>
            <w:right w:val="none" w:sz="0" w:space="0" w:color="auto"/>
          </w:divBdr>
          <w:divsChild>
            <w:div w:id="717558656">
              <w:marLeft w:val="0"/>
              <w:marRight w:val="0"/>
              <w:marTop w:val="300"/>
              <w:marBottom w:val="0"/>
              <w:divBdr>
                <w:top w:val="none" w:sz="0" w:space="0" w:color="auto"/>
                <w:left w:val="none" w:sz="0" w:space="0" w:color="auto"/>
                <w:bottom w:val="none" w:sz="0" w:space="0" w:color="auto"/>
                <w:right w:val="none" w:sz="0" w:space="0" w:color="auto"/>
              </w:divBdr>
            </w:div>
            <w:div w:id="2032803519">
              <w:marLeft w:val="0"/>
              <w:marRight w:val="0"/>
              <w:marTop w:val="0"/>
              <w:marBottom w:val="0"/>
              <w:divBdr>
                <w:top w:val="none" w:sz="0" w:space="0" w:color="auto"/>
                <w:left w:val="none" w:sz="0" w:space="0" w:color="auto"/>
                <w:bottom w:val="none" w:sz="0" w:space="0" w:color="auto"/>
                <w:right w:val="none" w:sz="0" w:space="0" w:color="auto"/>
              </w:divBdr>
              <w:divsChild>
                <w:div w:id="1145851155">
                  <w:marLeft w:val="0"/>
                  <w:marRight w:val="0"/>
                  <w:marTop w:val="0"/>
                  <w:marBottom w:val="0"/>
                  <w:divBdr>
                    <w:top w:val="none" w:sz="0" w:space="0" w:color="auto"/>
                    <w:left w:val="none" w:sz="0" w:space="0" w:color="auto"/>
                    <w:bottom w:val="none" w:sz="0" w:space="0" w:color="auto"/>
                    <w:right w:val="none" w:sz="0" w:space="0" w:color="auto"/>
                  </w:divBdr>
                  <w:divsChild>
                    <w:div w:id="72688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016">
              <w:marLeft w:val="0"/>
              <w:marRight w:val="0"/>
              <w:marTop w:val="75"/>
              <w:marBottom w:val="75"/>
              <w:divBdr>
                <w:top w:val="none" w:sz="0" w:space="0" w:color="auto"/>
                <w:left w:val="none" w:sz="0" w:space="0" w:color="auto"/>
                <w:bottom w:val="none" w:sz="0" w:space="0" w:color="auto"/>
                <w:right w:val="none" w:sz="0" w:space="0" w:color="auto"/>
              </w:divBdr>
              <w:divsChild>
                <w:div w:id="128477133">
                  <w:marLeft w:val="0"/>
                  <w:marRight w:val="0"/>
                  <w:marTop w:val="75"/>
                  <w:marBottom w:val="75"/>
                  <w:divBdr>
                    <w:top w:val="none" w:sz="0" w:space="0" w:color="auto"/>
                    <w:left w:val="none" w:sz="0" w:space="0" w:color="auto"/>
                    <w:bottom w:val="none" w:sz="0" w:space="0" w:color="auto"/>
                    <w:right w:val="none" w:sz="0" w:space="0" w:color="auto"/>
                  </w:divBdr>
                </w:div>
                <w:div w:id="1247378116">
                  <w:marLeft w:val="0"/>
                  <w:marRight w:val="0"/>
                  <w:marTop w:val="75"/>
                  <w:marBottom w:val="75"/>
                  <w:divBdr>
                    <w:top w:val="none" w:sz="0" w:space="0" w:color="auto"/>
                    <w:left w:val="none" w:sz="0" w:space="0" w:color="auto"/>
                    <w:bottom w:val="none" w:sz="0" w:space="0" w:color="auto"/>
                    <w:right w:val="none" w:sz="0" w:space="0" w:color="auto"/>
                  </w:divBdr>
                </w:div>
                <w:div w:id="128130586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5510751">
          <w:marLeft w:val="0"/>
          <w:marRight w:val="0"/>
          <w:marTop w:val="0"/>
          <w:marBottom w:val="0"/>
          <w:divBdr>
            <w:top w:val="none" w:sz="0" w:space="0" w:color="auto"/>
            <w:left w:val="none" w:sz="0" w:space="0" w:color="auto"/>
            <w:bottom w:val="none" w:sz="0" w:space="0" w:color="auto"/>
            <w:right w:val="none" w:sz="0" w:space="0" w:color="auto"/>
          </w:divBdr>
          <w:divsChild>
            <w:div w:id="141968576">
              <w:marLeft w:val="0"/>
              <w:marRight w:val="0"/>
              <w:marTop w:val="300"/>
              <w:marBottom w:val="0"/>
              <w:divBdr>
                <w:top w:val="none" w:sz="0" w:space="0" w:color="auto"/>
                <w:left w:val="none" w:sz="0" w:space="0" w:color="auto"/>
                <w:bottom w:val="none" w:sz="0" w:space="0" w:color="auto"/>
                <w:right w:val="none" w:sz="0" w:space="0" w:color="auto"/>
              </w:divBdr>
            </w:div>
            <w:div w:id="1445616036">
              <w:marLeft w:val="0"/>
              <w:marRight w:val="0"/>
              <w:marTop w:val="0"/>
              <w:marBottom w:val="0"/>
              <w:divBdr>
                <w:top w:val="none" w:sz="0" w:space="0" w:color="auto"/>
                <w:left w:val="none" w:sz="0" w:space="0" w:color="auto"/>
                <w:bottom w:val="none" w:sz="0" w:space="0" w:color="auto"/>
                <w:right w:val="none" w:sz="0" w:space="0" w:color="auto"/>
              </w:divBdr>
              <w:divsChild>
                <w:div w:id="431172933">
                  <w:marLeft w:val="0"/>
                  <w:marRight w:val="0"/>
                  <w:marTop w:val="0"/>
                  <w:marBottom w:val="0"/>
                  <w:divBdr>
                    <w:top w:val="none" w:sz="0" w:space="0" w:color="auto"/>
                    <w:left w:val="none" w:sz="0" w:space="0" w:color="auto"/>
                    <w:bottom w:val="none" w:sz="0" w:space="0" w:color="auto"/>
                    <w:right w:val="none" w:sz="0" w:space="0" w:color="auto"/>
                  </w:divBdr>
                  <w:divsChild>
                    <w:div w:id="2454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0317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1809</Words>
  <Characters>10314</Characters>
  <Application>Microsoft Office Word</Application>
  <DocSecurity>0</DocSecurity>
  <Lines>85</Lines>
  <Paragraphs>24</Paragraphs>
  <ScaleCrop>false</ScaleCrop>
  <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Green</dc:creator>
  <cp:keywords/>
  <dc:description/>
  <cp:lastModifiedBy>Eric Green</cp:lastModifiedBy>
  <cp:revision>1</cp:revision>
  <dcterms:created xsi:type="dcterms:W3CDTF">2021-11-04T15:12:00Z</dcterms:created>
  <dcterms:modified xsi:type="dcterms:W3CDTF">2021-11-04T15:12:00Z</dcterms:modified>
</cp:coreProperties>
</file>