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5961" w14:textId="77777777" w:rsidR="002C6BDD" w:rsidRPr="002C6BDD" w:rsidRDefault="002C6BDD" w:rsidP="002C6BDD">
      <w:pPr>
        <w:rPr>
          <w:rFonts w:ascii="Open Sans" w:hAnsi="Open Sans" w:cs="Open Sans"/>
          <w:sz w:val="26"/>
          <w:szCs w:val="26"/>
        </w:rPr>
      </w:pPr>
      <w:r w:rsidRPr="002C6BDD">
        <w:rPr>
          <w:rFonts w:ascii="Open Sans" w:hAnsi="Open Sans" w:cs="Open Sans"/>
          <w:noProof/>
          <w:sz w:val="26"/>
          <w:szCs w:val="26"/>
        </w:rPr>
        <w:drawing>
          <wp:anchor distT="0" distB="0" distL="114300" distR="114300" simplePos="0" relativeHeight="251658240" behindDoc="0" locked="0" layoutInCell="1" allowOverlap="1" wp14:anchorId="48944BF0" wp14:editId="3DFEE742">
            <wp:simplePos x="0" y="0"/>
            <wp:positionH relativeFrom="column">
              <wp:posOffset>0</wp:posOffset>
            </wp:positionH>
            <wp:positionV relativeFrom="paragraph">
              <wp:posOffset>0</wp:posOffset>
            </wp:positionV>
            <wp:extent cx="2369820" cy="3067050"/>
            <wp:effectExtent l="0" t="0" r="0" b="0"/>
            <wp:wrapSquare wrapText="bothSides"/>
            <wp:docPr id="1288862311" name="Picture 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862311" name="Picture 1" descr="A picture containing text, screenshot, font,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9820" cy="3067050"/>
                    </a:xfrm>
                    <a:prstGeom prst="rect">
                      <a:avLst/>
                    </a:prstGeom>
                    <a:noFill/>
                    <a:ln>
                      <a:noFill/>
                    </a:ln>
                  </pic:spPr>
                </pic:pic>
              </a:graphicData>
            </a:graphic>
          </wp:anchor>
        </w:drawing>
      </w:r>
      <w:r w:rsidRPr="002C6BDD">
        <w:rPr>
          <w:rFonts w:ascii="Open Sans" w:hAnsi="Open Sans" w:cs="Open Sans"/>
          <w:sz w:val="26"/>
          <w:szCs w:val="26"/>
        </w:rPr>
        <w:t xml:space="preserve">For taxpayers that owe money to the government, tax liens and tax levies become the bane of their existence.  Tax </w:t>
      </w:r>
      <w:proofErr w:type="gramStart"/>
      <w:r w:rsidRPr="002C6BDD">
        <w:rPr>
          <w:rFonts w:ascii="Open Sans" w:hAnsi="Open Sans" w:cs="Open Sans"/>
          <w:sz w:val="26"/>
          <w:szCs w:val="26"/>
        </w:rPr>
        <w:t>liens</w:t>
      </w:r>
      <w:proofErr w:type="gramEnd"/>
      <w:r w:rsidRPr="002C6BDD">
        <w:rPr>
          <w:rFonts w:ascii="Open Sans" w:hAnsi="Open Sans" w:cs="Open Sans"/>
          <w:sz w:val="26"/>
          <w:szCs w:val="26"/>
        </w:rPr>
        <w:t xml:space="preserve"> create havoc, shutting off access to credit and making life difficult for taxpayers to run both their business as well as their personal life.  Tax levies can be more destructive, cleaning out bank accounts with little to no notice and garnishing wages, creating economic headaches for the taxpayer.</w:t>
      </w:r>
    </w:p>
    <w:p w14:paraId="4078828B" w14:textId="77777777" w:rsidR="002C6BDD" w:rsidRPr="002C6BDD" w:rsidRDefault="002C6BDD" w:rsidP="002C6BDD">
      <w:pPr>
        <w:rPr>
          <w:rFonts w:ascii="Open Sans" w:hAnsi="Open Sans" w:cs="Open Sans"/>
          <w:sz w:val="26"/>
          <w:szCs w:val="26"/>
        </w:rPr>
      </w:pPr>
      <w:r w:rsidRPr="002C6BDD">
        <w:rPr>
          <w:rFonts w:ascii="Open Sans" w:hAnsi="Open Sans" w:cs="Open Sans"/>
          <w:sz w:val="26"/>
          <w:szCs w:val="26"/>
        </w:rPr>
        <w:t xml:space="preserve">It does not have to be this way.  In this new guide author Eric Green dives into the mechanics of how liens and levies work, and the options tax professionals </w:t>
      </w:r>
      <w:proofErr w:type="gramStart"/>
      <w:r w:rsidRPr="002C6BDD">
        <w:rPr>
          <w:rFonts w:ascii="Open Sans" w:hAnsi="Open Sans" w:cs="Open Sans"/>
          <w:sz w:val="26"/>
          <w:szCs w:val="26"/>
        </w:rPr>
        <w:t>have to</w:t>
      </w:r>
      <w:proofErr w:type="gramEnd"/>
      <w:r w:rsidRPr="002C6BDD">
        <w:rPr>
          <w:rFonts w:ascii="Open Sans" w:hAnsi="Open Sans" w:cs="Open Sans"/>
          <w:sz w:val="26"/>
          <w:szCs w:val="26"/>
        </w:rPr>
        <w:t xml:space="preserve"> resolve these issues and avoid or remove liens and levies.</w:t>
      </w:r>
    </w:p>
    <w:p w14:paraId="0C3D6BD9" w14:textId="77777777" w:rsidR="002C6BDD" w:rsidRPr="002C6BDD" w:rsidRDefault="002C6BDD" w:rsidP="002C6BDD">
      <w:pPr>
        <w:rPr>
          <w:rFonts w:ascii="Open Sans" w:hAnsi="Open Sans" w:cs="Open Sans"/>
          <w:sz w:val="26"/>
          <w:szCs w:val="26"/>
        </w:rPr>
      </w:pPr>
      <w:r w:rsidRPr="002C6BDD">
        <w:rPr>
          <w:rFonts w:ascii="Open Sans" w:hAnsi="Open Sans" w:cs="Open Sans"/>
          <w:sz w:val="26"/>
          <w:szCs w:val="26"/>
        </w:rPr>
        <w:t xml:space="preserve">With one quick read through this </w:t>
      </w:r>
      <w:proofErr w:type="gramStart"/>
      <w:r w:rsidRPr="002C6BDD">
        <w:rPr>
          <w:rFonts w:ascii="Open Sans" w:hAnsi="Open Sans" w:cs="Open Sans"/>
          <w:sz w:val="26"/>
          <w:szCs w:val="26"/>
        </w:rPr>
        <w:t>guide</w:t>
      </w:r>
      <w:proofErr w:type="gramEnd"/>
      <w:r w:rsidRPr="002C6BDD">
        <w:rPr>
          <w:rFonts w:ascii="Open Sans" w:hAnsi="Open Sans" w:cs="Open Sans"/>
          <w:sz w:val="26"/>
          <w:szCs w:val="26"/>
        </w:rPr>
        <w:t xml:space="preserve"> you will know more about IRS enforcement than 99% of tax professionals, and can help your clients work through these issues with confidence.</w:t>
      </w:r>
    </w:p>
    <w:p w14:paraId="78F4500B" w14:textId="77777777" w:rsidR="002C6BDD" w:rsidRPr="002C6BDD" w:rsidRDefault="002C6BDD" w:rsidP="002C6BDD">
      <w:pPr>
        <w:rPr>
          <w:rFonts w:ascii="Open Sans" w:hAnsi="Open Sans" w:cs="Open Sans"/>
          <w:sz w:val="26"/>
          <w:szCs w:val="26"/>
          <w:u w:val="single"/>
        </w:rPr>
      </w:pPr>
      <w:r w:rsidRPr="002C6BDD">
        <w:rPr>
          <w:rFonts w:ascii="Open Sans" w:hAnsi="Open Sans" w:cs="Open Sans"/>
          <w:sz w:val="26"/>
          <w:szCs w:val="26"/>
          <w:u w:val="single"/>
        </w:rPr>
        <w:t>The Guide Includes:</w:t>
      </w:r>
    </w:p>
    <w:p w14:paraId="2024B459" w14:textId="77777777" w:rsidR="002C6BDD" w:rsidRPr="002C6BDD" w:rsidRDefault="002C6BDD" w:rsidP="002C6BDD">
      <w:pPr>
        <w:pStyle w:val="ListParagraph"/>
        <w:numPr>
          <w:ilvl w:val="0"/>
          <w:numId w:val="1"/>
        </w:numPr>
        <w:rPr>
          <w:rFonts w:ascii="Open Sans" w:hAnsi="Open Sans" w:cs="Open Sans"/>
          <w:sz w:val="26"/>
          <w:szCs w:val="26"/>
        </w:rPr>
      </w:pPr>
      <w:r w:rsidRPr="002C6BDD">
        <w:rPr>
          <w:rFonts w:ascii="Open Sans" w:hAnsi="Open Sans" w:cs="Open Sans"/>
          <w:sz w:val="26"/>
          <w:szCs w:val="26"/>
        </w:rPr>
        <w:t xml:space="preserve">An Overview of why the IRS uses tax liens and tax </w:t>
      </w:r>
      <w:proofErr w:type="gramStart"/>
      <w:r w:rsidRPr="002C6BDD">
        <w:rPr>
          <w:rFonts w:ascii="Open Sans" w:hAnsi="Open Sans" w:cs="Open Sans"/>
          <w:sz w:val="26"/>
          <w:szCs w:val="26"/>
        </w:rPr>
        <w:t>levies</w:t>
      </w:r>
      <w:proofErr w:type="gramEnd"/>
    </w:p>
    <w:p w14:paraId="3B278CE7" w14:textId="77777777" w:rsidR="002C6BDD" w:rsidRPr="002C6BDD" w:rsidRDefault="002C6BDD" w:rsidP="002C6BDD">
      <w:pPr>
        <w:pStyle w:val="ListParagraph"/>
        <w:numPr>
          <w:ilvl w:val="0"/>
          <w:numId w:val="1"/>
        </w:numPr>
        <w:rPr>
          <w:rFonts w:ascii="Open Sans" w:hAnsi="Open Sans" w:cs="Open Sans"/>
          <w:sz w:val="26"/>
          <w:szCs w:val="26"/>
        </w:rPr>
      </w:pPr>
      <w:r w:rsidRPr="002C6BDD">
        <w:rPr>
          <w:rFonts w:ascii="Open Sans" w:hAnsi="Open Sans" w:cs="Open Sans"/>
          <w:sz w:val="26"/>
          <w:szCs w:val="26"/>
        </w:rPr>
        <w:t>The flow of IRS collection</w:t>
      </w:r>
    </w:p>
    <w:p w14:paraId="77555A33" w14:textId="77777777" w:rsidR="002C6BDD" w:rsidRPr="002C6BDD" w:rsidRDefault="002C6BDD" w:rsidP="002C6BDD">
      <w:pPr>
        <w:pStyle w:val="ListParagraph"/>
        <w:numPr>
          <w:ilvl w:val="0"/>
          <w:numId w:val="1"/>
        </w:numPr>
        <w:rPr>
          <w:rFonts w:ascii="Open Sans" w:hAnsi="Open Sans" w:cs="Open Sans"/>
          <w:sz w:val="26"/>
          <w:szCs w:val="26"/>
        </w:rPr>
      </w:pPr>
      <w:r w:rsidRPr="002C6BDD">
        <w:rPr>
          <w:rFonts w:ascii="Open Sans" w:hAnsi="Open Sans" w:cs="Open Sans"/>
          <w:sz w:val="26"/>
          <w:szCs w:val="26"/>
        </w:rPr>
        <w:t>Federal Tax Liens</w:t>
      </w:r>
    </w:p>
    <w:p w14:paraId="20724007" w14:textId="77777777" w:rsidR="002C6BDD" w:rsidRPr="002C6BDD" w:rsidRDefault="002C6BDD" w:rsidP="002C6BDD">
      <w:pPr>
        <w:pStyle w:val="ListParagraph"/>
        <w:numPr>
          <w:ilvl w:val="0"/>
          <w:numId w:val="1"/>
        </w:numPr>
        <w:rPr>
          <w:rFonts w:ascii="Open Sans" w:hAnsi="Open Sans" w:cs="Open Sans"/>
          <w:sz w:val="26"/>
          <w:szCs w:val="26"/>
        </w:rPr>
      </w:pPr>
      <w:r w:rsidRPr="002C6BDD">
        <w:rPr>
          <w:rFonts w:ascii="Open Sans" w:hAnsi="Open Sans" w:cs="Open Sans"/>
          <w:sz w:val="26"/>
          <w:szCs w:val="26"/>
        </w:rPr>
        <w:t>Foreclosure and Redemption of Tax Liens</w:t>
      </w:r>
    </w:p>
    <w:p w14:paraId="5A0F1CCA" w14:textId="77777777" w:rsidR="002C6BDD" w:rsidRPr="002C6BDD" w:rsidRDefault="002C6BDD" w:rsidP="002C6BDD">
      <w:pPr>
        <w:pStyle w:val="ListParagraph"/>
        <w:numPr>
          <w:ilvl w:val="0"/>
          <w:numId w:val="1"/>
        </w:numPr>
        <w:rPr>
          <w:rFonts w:ascii="Open Sans" w:hAnsi="Open Sans" w:cs="Open Sans"/>
          <w:sz w:val="26"/>
          <w:szCs w:val="26"/>
        </w:rPr>
      </w:pPr>
      <w:r w:rsidRPr="002C6BDD">
        <w:rPr>
          <w:rFonts w:ascii="Open Sans" w:hAnsi="Open Sans" w:cs="Open Sans"/>
          <w:sz w:val="26"/>
          <w:szCs w:val="26"/>
        </w:rPr>
        <w:t>Federal Tax Levies</w:t>
      </w:r>
    </w:p>
    <w:p w14:paraId="10D05FD5" w14:textId="77777777" w:rsidR="002C6BDD" w:rsidRPr="002C6BDD" w:rsidRDefault="002C6BDD" w:rsidP="002C6BDD">
      <w:pPr>
        <w:pStyle w:val="ListParagraph"/>
        <w:numPr>
          <w:ilvl w:val="0"/>
          <w:numId w:val="1"/>
        </w:numPr>
        <w:rPr>
          <w:rFonts w:ascii="Open Sans" w:hAnsi="Open Sans" w:cs="Open Sans"/>
          <w:sz w:val="26"/>
          <w:szCs w:val="26"/>
        </w:rPr>
      </w:pPr>
      <w:r w:rsidRPr="002C6BDD">
        <w:rPr>
          <w:rFonts w:ascii="Open Sans" w:hAnsi="Open Sans" w:cs="Open Sans"/>
          <w:sz w:val="26"/>
          <w:szCs w:val="26"/>
        </w:rPr>
        <w:t>27 exhibits</w:t>
      </w:r>
    </w:p>
    <w:p w14:paraId="24F917D1" w14:textId="77777777" w:rsidR="002C6BDD" w:rsidRPr="002C6BDD" w:rsidRDefault="002C6BDD" w:rsidP="002C6BDD">
      <w:pPr>
        <w:pStyle w:val="ListParagraph"/>
        <w:numPr>
          <w:ilvl w:val="0"/>
          <w:numId w:val="1"/>
        </w:numPr>
        <w:rPr>
          <w:rFonts w:ascii="Open Sans" w:hAnsi="Open Sans" w:cs="Open Sans"/>
          <w:sz w:val="26"/>
          <w:szCs w:val="26"/>
        </w:rPr>
      </w:pPr>
      <w:r w:rsidRPr="002C6BDD">
        <w:rPr>
          <w:rFonts w:ascii="Open Sans" w:hAnsi="Open Sans" w:cs="Open Sans"/>
          <w:sz w:val="26"/>
          <w:szCs w:val="26"/>
        </w:rPr>
        <w:t>The Lien Checklist</w:t>
      </w:r>
    </w:p>
    <w:p w14:paraId="03137190" w14:textId="77777777" w:rsidR="002C6BDD" w:rsidRPr="002C6BDD" w:rsidRDefault="002C6BDD" w:rsidP="002C6BDD">
      <w:pPr>
        <w:pStyle w:val="ListParagraph"/>
        <w:numPr>
          <w:ilvl w:val="0"/>
          <w:numId w:val="1"/>
        </w:numPr>
        <w:rPr>
          <w:rFonts w:ascii="Open Sans" w:hAnsi="Open Sans" w:cs="Open Sans"/>
          <w:sz w:val="26"/>
          <w:szCs w:val="26"/>
        </w:rPr>
      </w:pPr>
      <w:r w:rsidRPr="002C6BDD">
        <w:rPr>
          <w:rFonts w:ascii="Open Sans" w:hAnsi="Open Sans" w:cs="Open Sans"/>
          <w:sz w:val="26"/>
          <w:szCs w:val="26"/>
        </w:rPr>
        <w:t>Sample pricing list for these services</w:t>
      </w:r>
    </w:p>
    <w:p w14:paraId="1BF8637A" w14:textId="77777777" w:rsidR="002C6BDD" w:rsidRPr="002C6BDD" w:rsidRDefault="002C6BDD" w:rsidP="002C6BDD">
      <w:pPr>
        <w:pStyle w:val="ListParagraph"/>
        <w:numPr>
          <w:ilvl w:val="0"/>
          <w:numId w:val="1"/>
        </w:numPr>
        <w:rPr>
          <w:rFonts w:ascii="Open Sans" w:hAnsi="Open Sans" w:cs="Open Sans"/>
          <w:sz w:val="26"/>
          <w:szCs w:val="26"/>
        </w:rPr>
      </w:pPr>
      <w:r w:rsidRPr="002C6BDD">
        <w:rPr>
          <w:rFonts w:ascii="Open Sans" w:hAnsi="Open Sans" w:cs="Open Sans"/>
          <w:sz w:val="26"/>
          <w:szCs w:val="26"/>
        </w:rPr>
        <w:t xml:space="preserve">11 Sample letters to use in your </w:t>
      </w:r>
      <w:proofErr w:type="gramStart"/>
      <w:r w:rsidRPr="002C6BDD">
        <w:rPr>
          <w:rFonts w:ascii="Open Sans" w:hAnsi="Open Sans" w:cs="Open Sans"/>
          <w:sz w:val="26"/>
          <w:szCs w:val="26"/>
        </w:rPr>
        <w:t>practice</w:t>
      </w:r>
      <w:proofErr w:type="gramEnd"/>
    </w:p>
    <w:p w14:paraId="230D01B6" w14:textId="77777777" w:rsidR="002C6BDD" w:rsidRPr="002C6BDD" w:rsidRDefault="002C6BDD" w:rsidP="002C6BDD">
      <w:pPr>
        <w:pStyle w:val="ListParagraph"/>
        <w:numPr>
          <w:ilvl w:val="0"/>
          <w:numId w:val="1"/>
        </w:numPr>
        <w:rPr>
          <w:rFonts w:ascii="Open Sans" w:hAnsi="Open Sans" w:cs="Open Sans"/>
          <w:sz w:val="26"/>
          <w:szCs w:val="26"/>
        </w:rPr>
      </w:pPr>
      <w:r w:rsidRPr="002C6BDD">
        <w:rPr>
          <w:rFonts w:ascii="Open Sans" w:hAnsi="Open Sans" w:cs="Open Sans"/>
          <w:sz w:val="26"/>
          <w:szCs w:val="26"/>
        </w:rPr>
        <w:t>The top 20 questions and answers about liens and levies</w:t>
      </w:r>
    </w:p>
    <w:p w14:paraId="58790622" w14:textId="45076B0C" w:rsidR="00206220" w:rsidRDefault="002C6BDD" w:rsidP="002C6BDD">
      <w:pPr>
        <w:pStyle w:val="ListParagraph"/>
        <w:numPr>
          <w:ilvl w:val="0"/>
          <w:numId w:val="1"/>
        </w:numPr>
        <w:rPr>
          <w:rFonts w:ascii="Open Sans" w:hAnsi="Open Sans" w:cs="Open Sans"/>
          <w:sz w:val="26"/>
          <w:szCs w:val="26"/>
        </w:rPr>
      </w:pPr>
      <w:r w:rsidRPr="002C6BDD">
        <w:rPr>
          <w:rFonts w:ascii="Open Sans" w:hAnsi="Open Sans" w:cs="Open Sans"/>
          <w:sz w:val="26"/>
          <w:szCs w:val="26"/>
        </w:rPr>
        <w:t>5 case studies</w:t>
      </w:r>
    </w:p>
    <w:p w14:paraId="50D628CD" w14:textId="737EC9B4" w:rsidR="002C6BDD" w:rsidRPr="002C6BDD" w:rsidRDefault="002C6BDD" w:rsidP="002C6BDD">
      <w:pPr>
        <w:jc w:val="center"/>
        <w:rPr>
          <w:rFonts w:ascii="Open Sans" w:hAnsi="Open Sans" w:cs="Open Sans"/>
          <w:b/>
          <w:bCs/>
          <w:sz w:val="32"/>
          <w:szCs w:val="32"/>
        </w:rPr>
      </w:pPr>
      <w:r w:rsidRPr="002C6BDD">
        <w:rPr>
          <w:rFonts w:ascii="Open Sans" w:hAnsi="Open Sans" w:cs="Open Sans"/>
          <w:b/>
          <w:bCs/>
          <w:sz w:val="32"/>
          <w:szCs w:val="32"/>
        </w:rPr>
        <w:t>https://tgpublish.com/book-liensx1/</w:t>
      </w:r>
    </w:p>
    <w:sectPr w:rsidR="002C6BDD" w:rsidRPr="002C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903D9"/>
    <w:multiLevelType w:val="hybridMultilevel"/>
    <w:tmpl w:val="BB0A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03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DD"/>
    <w:rsid w:val="00265D57"/>
    <w:rsid w:val="002C6BDD"/>
    <w:rsid w:val="0043583B"/>
    <w:rsid w:val="004F0B4D"/>
    <w:rsid w:val="005054E8"/>
    <w:rsid w:val="0088444D"/>
    <w:rsid w:val="008C4B5B"/>
    <w:rsid w:val="00F77071"/>
    <w:rsid w:val="00F9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3FB3"/>
  <w15:chartTrackingRefBased/>
  <w15:docId w15:val="{864049F6-D155-4093-9635-EB4DA064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98036">
      <w:bodyDiv w:val="1"/>
      <w:marLeft w:val="0"/>
      <w:marRight w:val="0"/>
      <w:marTop w:val="0"/>
      <w:marBottom w:val="0"/>
      <w:divBdr>
        <w:top w:val="none" w:sz="0" w:space="0" w:color="auto"/>
        <w:left w:val="none" w:sz="0" w:space="0" w:color="auto"/>
        <w:bottom w:val="none" w:sz="0" w:space="0" w:color="auto"/>
        <w:right w:val="none" w:sz="0" w:space="0" w:color="auto"/>
      </w:divBdr>
    </w:div>
    <w:div w:id="9559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1042</Characters>
  <Application>Microsoft Office Word</Application>
  <DocSecurity>0</DocSecurity>
  <Lines>18</Lines>
  <Paragraphs>21</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Green</dc:creator>
  <cp:keywords/>
  <dc:description/>
  <cp:lastModifiedBy>Eric Green</cp:lastModifiedBy>
  <cp:revision>1</cp:revision>
  <cp:lastPrinted>2023-06-21T20:35:00Z</cp:lastPrinted>
  <dcterms:created xsi:type="dcterms:W3CDTF">2023-06-21T20:30:00Z</dcterms:created>
  <dcterms:modified xsi:type="dcterms:W3CDTF">2023-06-21T20:35:00Z</dcterms:modified>
</cp:coreProperties>
</file>